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NW_29773 (Nordrhein-Westfalen)</w:t>
      </w:r>
    </w:p>
    <w:p>
      <w:r>
        <w:rPr>
          <w:color w:val="555555"/>
          <w:sz w:val="18"/>
        </w:rPr>
        <w:t xml:space="preserve">Bekanntmachung des Staatsvertrages zwischen dem Land Baden-Württemberg und dem Land Nordrhein-Westfalen über die Zugehörigkeit der Psychotherapeutinnen und Psychotherapeuten des Landes Baden-Württemberg zum Versorgungswerk der Psychotherapeutenkammer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vertragsschließenden Teil mit einer Frist von fünf Jahren zum Ablauf eines Kalenderjahres gekündigt werden, vor Ablauf von zehn Jahren nach Inkrafttreten dieses Staatsvertrages ist eine Kündigung ausgeschlossen. Abweichend von Satz 1 kann das Land Baden-Württemberg den Staatsvertrag mit einer Frist von einem Jahr kündigen, wenn die Regelungen des Heilberufsgesetzes Nordrhein-Westfalen zu den Versorgungseinrichtungen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Falle der Kündigung des Versorgungswerks übernimmt ein durch das Land Baden-Württemberg innerhalb der Kündigungsfrist zu bestimmender Rechtsträger als Rechtsnachfolger die Mitglieder und sonstigen Leistungsberechtigten nach Artikel 1 Abs. 1 dieses Staatsvertrages. Dies gilt auch im Falle einer Auflösung des Versorgungswerks, wobei der Rechtsträger innerhalb einer Frist von einem Jahr nach Beschluss der Psychotherapeutenkammer Nordrhein-Westfalen über die Auflösung des Versorgungswerks zu bestimmen ist. Auf diesen Rechtsträger gehen alle Rechte und Pflichten des Versorgungswerks der Psychotherapeutenkammer Nordrhein-Westfalen gegenüber den übernommenen Mitgliedern und sonstigen Leistungsberechtigten über.</w:t>
      </w:r>
    </w:p>
    <w:p>
      <w:r>
        <w:t xml:space="preserve">(3) Im Falle der Kündigung oder einer Auflösung des Versorgungswerks findet eine Auseinandersetzung des Vermögens nach versicherungsmathematischen Grundsätzen statt, wobei die im Zeitpunkt des Wirksamwerdens der Kündigung im technischen Geschäftsplan festgelegten Rechnungslegungsgrundlagen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aufzuteilen; soweit nichtversicherungstechnische Verbindlichkeiten von dem Rechtsnachfolger übernommen werden, sind ihm die entsprechenden Deckungsmittel zu überlassen. Bei der Verteilung des Vermögens sind die im Land Baden-Württemberg angelegten Vermögenswerte auf Verlangen an den Rechtsnachfolger zu übertragen. Bei den übrigen Vermögenswerten ist das Versorgungswerk der Psychotherapeutenkammer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Ministerium für Arbeit und Soziales des Landes Baden-Württemberg herzustellen.</w:t>
      </w:r>
    </w:p>
    <w:p>
      <w:r>
        <w:rPr>
          <w:color w:val="555555"/>
          <w:sz w:val="17"/>
        </w:rPr>
        <w:t xml:space="preserve">Zitiervorschlag: Art 7 NW_29773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https://recht.nulegal.eu/gesetze/NW_29773/7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