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NW_29765 (Nordrhein-Westfalen) — Organe und Gremien der Stiftung</w:t>
      </w:r>
    </w:p>
    <w:p>
      <w:r>
        <w:rPr>
          <w:color w:val="555555"/>
          <w:sz w:val="18"/>
        </w:rPr>
        <w:t xml:space="preserve">SfH-Gesetz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Organe der Stiftung sind</w:t>
      </w:r>
    </w:p>
    <w:p>
      <w:r>
        <w:t xml:space="preserve">1. der Stiftungsrat und</w:t>
      </w:r>
    </w:p>
    <w:p>
      <w:r>
        <w:t xml:space="preserve">2. die administrative und die technische Geschäftsführung.</w:t>
      </w:r>
    </w:p>
    <w:p>
      <w:r>
        <w:t xml:space="preserve">(2) Als beratendes Gremium setzt die Stiftung einen IT-Beirat ein. Zur Unterstützung der Organe bei der Durchführung ihrer Aufgaben kann die Stiftung weitere Beiräte einsetzen. Das Nähere regelt die Satzung.</w:t>
      </w:r>
    </w:p>
    <w:p>
      <w:r>
        <w:rPr>
          <w:color w:val="555555"/>
          <w:sz w:val="17"/>
        </w:rPr>
        <w:t xml:space="preserve">Zitiervorschlag: § 5 NW_29765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https://recht.nulegal.eu/gesetze/NW_29765/5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