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NW_29763 (Nordrhein-Westfalen)</w:t>
      </w:r>
    </w:p>
    <w:p>
      <w:r>
        <w:rPr>
          <w:color w:val="555555"/>
          <w:sz w:val="18"/>
        </w:rPr>
        <w:t xml:space="preserve">Bekanntmachung über die Vereinbarung zwischen den Ländern Hessen, Niedersachsen, Nordrhein-Westfalen und dem Land Rheinland-Pfalz zur Auflösung des Staatlichen Heilquellenamtes Bad Ems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Hessen, Niedersachsen und Nordrhein-Westfalen entrichten an das Land Rheinland-Pfalz bis zu dem in § 1 genannten Zeitpunkt einen jährlichen Beitrag zu den Personal-, und Sachausgaben - einschließlich Versorgungslasten wie auch Beihilfen und Vergütungen des im Ruhestand lebenden Leiters gemäß § 3 Abs. 1 Satz 2 der Verwaltungsvereinbarung vom 15.3./22.10.1966 - für</w:t>
      </w:r>
    </w:p>
    <w:p>
      <w:r>
        <w:t xml:space="preserve">- den Leiter des Heilquellenamtes,</w:t>
      </w:r>
    </w:p>
    <w:p>
      <w:r>
        <w:t xml:space="preserve">- einen technischen Angestellten und</w:t>
      </w:r>
    </w:p>
    <w:p>
      <w:r>
        <w:t xml:space="preserve">- eine Bürokraft.</w:t>
      </w:r>
    </w:p>
    <w:p>
      <w:r>
        <w:t xml:space="preserve">Dieser Beitrag errechnet sich nach folgendem festen Verteilerschlüssel:</w:t>
      </w:r>
    </w:p>
    <w:p>
      <w:r>
        <w:t xml:space="preserve">Hessen</w:t>
      </w:r>
    </w:p>
    <w:p>
      <w:r>
        <w:t xml:space="preserve">insgesamt 43,0%</w:t>
      </w:r>
    </w:p>
    <w:p>
      <w:r>
        <w:t xml:space="preserve">(Bad Wildungen 13,0%; Bad Nauheim 7,5%; Bad Salzhausen 5,1%; Bad Schwalbach 8,7%; Schlangenbad 6,5%; Bad Hersfeld 2,2%);</w:t>
      </w:r>
    </w:p>
    <w:p>
      <w:r>
        <w:t xml:space="preserve">Niedersachsen</w:t>
      </w:r>
    </w:p>
    <w:p>
      <w:r>
        <w:t xml:space="preserve">insgesamt 26,5%</w:t>
      </w:r>
    </w:p>
    <w:p>
      <w:r>
        <w:t xml:space="preserve">(Bad Pyrmont 15,0%; Bad Nenndorf 11,5%);</w:t>
      </w:r>
    </w:p>
    <w:p>
      <w:r>
        <w:t xml:space="preserve">Nordrhein-Westfalen</w:t>
      </w:r>
    </w:p>
    <w:p>
      <w:r>
        <w:t xml:space="preserve">insgesamt 10,1%</w:t>
      </w:r>
    </w:p>
    <w:p>
      <w:r>
        <w:t xml:space="preserve">(Bad Oeynhausen 10,1%);</w:t>
      </w:r>
    </w:p>
    <w:p>
      <w:r>
        <w:t xml:space="preserve">Rheinland-Pfalz</w:t>
      </w:r>
    </w:p>
    <w:p>
      <w:r>
        <w:t xml:space="preserve">insgesamt 20,4%</w:t>
      </w:r>
    </w:p>
    <w:p>
      <w:r>
        <w:t xml:space="preserve">(Staatsbad Bad Bertrich GmbH 4,4%; Staatsbad Bad Dürkheim GmbH 2,3%; Staatsbad Bad Ems GmbH 8,0%; Staatsbad Bad Bergzabem GmbH 1,9%; Mineralbrunnen Teinach AG 3,8%).</w:t>
      </w:r>
    </w:p>
    <w:p>
      <w:r>
        <w:rPr>
          <w:color w:val="555555"/>
          <w:sz w:val="17"/>
        </w:rPr>
        <w:t xml:space="preserve">Zitiervorschlag: § 2 NW_29763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