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NW_29679 (Nordrhein-Westfalen)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Juni 2008</w:t>
      </w:r>
    </w:p>
    <w:p>
      <w:r>
        <w:t xml:space="preserve">Auf Grund des § 1 Abs. 1 des Gesetzes über den Zahlungsverkehr mit Gerichten und Justizbehörden - ZahlVGJG - (Artikel 2 des Zweiten Gesetzes zur Modernisierung der Justiz - 2. Justizmodernisierungsgesetz - vom 22. Dezember 2006, BGBl. I S. 3416) wird verordnet:</w:t>
      </w:r>
    </w:p>
    <w:p>
      <w:r>
        <w:rPr>
          <w:color w:val="555555"/>
          <w:sz w:val="17"/>
        </w:rPr>
        <w:t xml:space="preserve">Zitiervorschlag: Volltext NW_29679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https://recht.nulegal.eu/gesetze/NW_29679/volltext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