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NW_29678 (Nordrhein-Westfalen) — Erwerb der Berechtigung zum Besuch der gymnasialen Oberstufe</w:t>
      </w:r>
    </w:p>
    <w:p>
      <w:r>
        <w:rPr>
          <w:color w:val="555555"/>
          <w:sz w:val="18"/>
        </w:rPr>
        <w:t xml:space="preserve">PO-Waldorf-S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Schülerin oder ein Schüler erwirbt mit einem Abschluss gemäß § 3 die Berechtigung zum Besuch der gymnasialen Oberstufe, wenn sie oder er die Anforderungen des § 43 Abs. 1 Ausbildungs- und Prüfungsordnung Sekundarstufe I erfüllt. Sie oder er kann die Schullaufbahn in der Einführungsphase der gymnasialen Oberstufe fortsetzen.</w:t>
      </w:r>
    </w:p>
    <w:p>
      <w:r>
        <w:t xml:space="preserve">(2) Über die Berechtigung zum Besuch der Jahrgangsstufen 12 und 13 an Waldorfschulen entscheiden die Schulen selbst.</w:t>
      </w:r>
    </w:p>
    <w:p>
      <w:r>
        <w:rPr>
          <w:color w:val="555555"/>
          <w:sz w:val="17"/>
        </w:rPr>
        <w:t xml:space="preserve">Zitiervorschlag: § 4 NW_29678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https://recht.nulegal.eu/gesetze/NW_29678/4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