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NW_29678 (Nordrhein-Westfalen) — Erwerb eines dem Ersten Schulabschlussgleichwertigen Abschlusses</w:t>
      </w:r>
    </w:p>
    <w:p>
      <w:r>
        <w:rPr>
          <w:color w:val="555555"/>
          <w:sz w:val="18"/>
        </w:rPr>
        <w:t xml:space="preserve">PO-Waldorf-S 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Schülerin oder ein Schüler erwirbt am Ende der Klasse 10 im Verfahren nach § 7 einen dem Ersten Schulabschluss gleichwertigen Abschluss, wenn sie oder er nach dem von der Waldorfschule erteilten Zeugnis die Versetzungsanforderungen der Hauptschule (§ 22 Abs. 1 und § 25 Abs. 1 und 2 Ausbildungs- und Prüfungsordnung Sekundarstufe I) erfüllt.</w:t>
      </w:r>
    </w:p>
    <w:p>
      <w:r>
        <w:t xml:space="preserve">(2) Wurde das Fach Englisch nicht erteilt, tritt an seine Stelle die Fremdsprache, in der die Schülerin oder der Schüler in den Klassen 5 bis 10 unterrichtet worden ist.</w:t>
      </w:r>
    </w:p>
    <w:p>
      <w:r>
        <w:rPr>
          <w:color w:val="555555"/>
          <w:sz w:val="17"/>
        </w:rPr>
        <w:t xml:space="preserve">Zitiervorschlag: § 1 NW_29678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https://recht.nulegal.eu/gesetze/NW_29678/1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