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NW_29630 (Nordrhein-Westfalen)</w:t>
      </w:r>
    </w:p>
    <w:p>
      <w:r>
        <w:rPr>
          <w:color w:val="555555"/>
          <w:sz w:val="18"/>
        </w:rPr>
        <w:t xml:space="preserve">Verordnung über die Zuständigkeit für die Verfolgung und Ahndung von Ordnungswidrigkeiten auf dem Gebiet der Rechtsdienstleistung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17. Juni 2008</w:t>
      </w:r>
    </w:p>
    <w:p>
      <w:r>
        <w:t xml:space="preserve">Aufgrund des § 36 Abs. 2 Satz 1 des Gesetzes über Ordnungswidrigkeiten (OWiG) in der Fassung der Bekanntmachung vom 19. Februar 1987 (BGBl. I S. 602), zuletzt geändert durch das 41. Strafrechtsänderungsgesetz vom 7. August 2007 (BGBl. I S. 1786), wird verordnet:</w:t>
      </w:r>
    </w:p>
    <w:p>
      <w:r>
        <w:rPr>
          <w:color w:val="555555"/>
          <w:sz w:val="17"/>
        </w:rPr>
        <w:t xml:space="preserve">Zitiervorschlag: Volltext NW_29630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https://recht.nulegal.eu/gesetze/NW_29630/volltext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