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NW_29630 (Nordrhein-Westfalen)</w:t>
      </w:r>
    </w:p>
    <w:p>
      <w:r>
        <w:rPr>
          <w:color w:val="555555"/>
          <w:sz w:val="18"/>
        </w:rPr>
        <w:t xml:space="preserve">Verordnung über die Zuständigkeit für die Verfolgung und Ahndung von Ordnungswidrigkeiten auf dem Gebiet der Rechtsdienstleistung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Zuständigkeit für vor dem 1. Januar 2025 eingeleitete Verfahren zur Verfolgung und Ahndung von Ordnungswidrigkeiten nach § 20 des Rechtsdienstleistungsgesetzes vom 12. Dezember 2007 (BGBl. I S. 2840) in der jeweils geltenden Fassung wird auf die Leitenden Oberstaatsanwältinnen und Leitenden Oberstaatsanwälte am Sitz der Landgerichte übertragen.</w:t>
      </w:r>
    </w:p>
    <w:p>
      <w:r>
        <w:rPr>
          <w:color w:val="555555"/>
          <w:sz w:val="17"/>
        </w:rPr>
        <w:t xml:space="preserve">Zitiervorschlag: § 1 NW_29630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https://recht.nulegal.eu/gesetze/NW_29630/1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