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NW_29628 (Nordrhein-Westfalen) — Abgabenfestsetzung, -erhebung und -verwendung, sonstige Einnahmen</w:t>
      </w:r>
    </w:p>
    <w:p>
      <w:r>
        <w:rPr>
          <w:color w:val="555555"/>
          <w:sz w:val="18"/>
        </w:rPr>
        <w:t xml:space="preserve">ISGG NRW</w:t>
      </w:r>
    </w:p>
    <w:p>
      <w:r>
        <w:rPr>
          <w:color w:val="555555"/>
          <w:sz w:val="18"/>
        </w:rPr>
        <w:t xml:space="preserve">Landesrecht Nordrhein-Westfalen</w:t>
      </w:r>
    </w:p>
    <w:p>
      <w:r>
        <w:rPr>
          <w:color w:val="555555"/>
          <w:sz w:val="18"/>
        </w:rPr>
        <w:t xml:space="preserve">Stand: 02.09.2026 (konsolidierte Textfassung, kein amtliches Inkrafttretensdatum)</w:t>
      </w:r>
    </w:p>
    <w:p>
      <w:r>
        <w:t xml:space="preserve">(1) Zur Finanzierung der Maßnahmen kann die Gemeinde aufgrund einer Satzung eine Abgabe erheben. §§ 2 Absatz 1 Satz 2, 12 und 13 des Kommunalabgabengesetzes gelten entsprechend.</w:t>
      </w:r>
    </w:p>
    <w:p>
      <w:r>
        <w:t xml:space="preserve">(2) Die Satzung muss neben den in § 2 Absatz 1 Satz 2 des Kommunalabgabengesetzes geforderten Angaben mindestens auch</w:t>
      </w:r>
    </w:p>
    <w:p>
      <w:r>
        <w:t xml:space="preserve">1. den Geltungsbereich und die Geltungsdauer einer Satzung für eine Immobilien- und Standortgemeinschaft (§ 3),</w:t>
      </w:r>
    </w:p>
    <w:p>
      <w:r>
        <w:t xml:space="preserve">2. die Ziele und Maßnahmen (§ 1 Absatz 1),</w:t>
      </w:r>
    </w:p>
    <w:p>
      <w:r>
        <w:t xml:space="preserve">3. die Immobilien- und Standortgemeinschaft (§ 2),</w:t>
      </w:r>
    </w:p>
    <w:p>
      <w:r>
        <w:t xml:space="preserve">4. die Höhe der Kostenpauschale für den Verwaltungsaufwand der Gemeinde (Absatz 7) und</w:t>
      </w:r>
    </w:p>
    <w:p>
      <w:r>
        <w:t xml:space="preserve">5. die Mittelverwendung (Absatz 8)</w:t>
      </w:r>
    </w:p>
    <w:p>
      <w:r>
        <w:t xml:space="preserve">festlegen.</w:t>
      </w:r>
    </w:p>
    <w:p>
      <w:r>
        <w:t xml:space="preserve">(3) Abgabenpflichtig sind alle Grundeigentümerinnen und Grundeigentümer. Sind Grundstücke mit einem Erbbaurecht belastet, so sind die Erbbauberechtigten anstelle der Eigentümerinnen und Eigentümer abgabepflichtig.</w:t>
      </w:r>
    </w:p>
    <w:p>
      <w:r>
        <w:t xml:space="preserve">(4) Die Gemeinde hat in der Satzung Ausnahmen von der Abgabenpflicht vorzusehen, wenn</w:t>
      </w:r>
    </w:p>
    <w:p>
      <w:r>
        <w:t xml:space="preserve">a) Grundstücke wirtschaftlich nicht genutzt werden können,</w:t>
      </w:r>
    </w:p>
    <w:p>
      <w:r>
        <w:t xml:space="preserve">b) die Nutzung der Grundstücke ausschließlich zu Zwecken des Gemeinbedarfs ausgeübt wird, oder</w:t>
      </w:r>
    </w:p>
    <w:p>
      <w:r>
        <w:t xml:space="preserve">c) Abgabenpflichtige nach Absatz 3 erkennbar keinen Vorteil von den Maßnahmen haben können.</w:t>
      </w:r>
    </w:p>
    <w:p>
      <w:r>
        <w:t xml:space="preserve">(5) Die Gemeinde kann Abgabenpflichtige von der Abgabe befreien, wenn die Heranziehung zu der Abgabe eine unbillige Härte begründen würde.</w:t>
      </w:r>
    </w:p>
    <w:p>
      <w:r>
        <w:t xml:space="preserve">(6) Die Abgabe ist nach festen Verteilungsmaßstäben von den Abgabenpflichtigen zu erheben. Zulässige Verteilungsmaßstäbe sind</w:t>
      </w:r>
    </w:p>
    <w:p>
      <w:r>
        <w:t xml:space="preserve">1. der für alle Grundstücke nach einem einheitlichen Maßstab bemessene Wert des Grundstücks;</w:t>
      </w:r>
    </w:p>
    <w:p>
      <w:r>
        <w:t xml:space="preserve">2. die Art und das Maß der baulichen oder sonstigen Nutzung des Grundstücks;</w:t>
      </w:r>
    </w:p>
    <w:p>
      <w:r>
        <w:t xml:space="preserve">3. die Grundstücksflächen;</w:t>
      </w:r>
    </w:p>
    <w:p>
      <w:r>
        <w:t xml:space="preserve">4. die Grundstücksseite entlang der Erschließungsanlage.</w:t>
      </w:r>
    </w:p>
    <w:p>
      <w:r>
        <w:t xml:space="preserve">Die Verteilungsmaßstäbe können miteinander verbunden werden. Die Höhe der Abgabe darf pro Jahr 1 Prozent des Bezugsbodenwerts nicht überschreiten. Der Bezugsbodenwert ist der Bodenrichtwert je Quadratmeter Grundstücksfläche eines im Projektbereich gelegenen Grundstücks multipliziert mit der Grundstücksfläche. Die Übermittlung von Daten durch die Finanzbehörden an die Gemeinde erfolgt nach § 31 Absatz 1 der Abgabenordnung in der Fassung der Bekanntmachung vom 23. Januar 2025 (BGBl. 2025 I Nr. 24) in der jeweils geltenden Fassung.</w:t>
      </w:r>
    </w:p>
    <w:p>
      <w:r>
        <w:t xml:space="preserve">(7) Die Gemeinde kann zur Abgeltung des gemeindlichen Aufwands eine Kostenpauschale in Höhe von maximal 3 vom Hundert der beantragten Maßnahmensumme durch Satzung festlegen.</w:t>
      </w:r>
    </w:p>
    <w:p>
      <w:r>
        <w:t xml:space="preserve">(8) Das Aufkommen aus der Abgabe steht der Immobilien- und Standortgemeinschaft abzüglich der Kostenpauschale zur Abgeltung des gemeindlichen Aufwands nach Absatz 7 zu. Sie hat die Einnahmen aus dem Abgabenaufkommen ausschließlich für die geplanten Maßnahmen zu verwenden. Die Immobilien- und Standortgemeinschaft hat der Gemeinde die ordnungs- und zweckmäßige Mittelverwendung auf Verlangen unverzüglich, mindestens jedoch jährlich, nachzuweisen.</w:t>
      </w:r>
    </w:p>
    <w:p>
      <w:r>
        <w:t xml:space="preserve">(9) Die Anfechtungsklage gegen einen Abgabenbescheid nach § 4 Abs.atz1 hat keine aufschiebende Wirkung.</w:t>
      </w:r>
    </w:p>
    <w:p>
      <w:r>
        <w:t xml:space="preserve">(10) Die Abgabe nach Absatz 1 ruht als öffentliche Last auf dem Grundstück, im Fall des § 4 Absatz 3 Satz 2 auf dem Erbbaurecht.</w:t>
      </w:r>
    </w:p>
    <w:p>
      <w:r>
        <w:t xml:space="preserve">(11) Nach Außerkrafttreten der Satzung nach § 1 Absatz 1 sind nicht verwendete Finanzmittel durch die Immobilien- und Standortgemeinschaft der Gemeinde zu übertragen. Die Gemeinde zahlt die übertragenen Mittel an die Abgabenpflichtigen zurück.</w:t>
      </w:r>
    </w:p>
    <w:p>
      <w:r>
        <w:t xml:space="preserve">(12) In Ergänzung zur Abgabe kann die Immobilien- und Standortgemeinschaft sonstige Einnahmen aus eigener wirtschaftlicher Tätigkeit generieren. Etwaige Einnahmeüberschüsse sind als zusätzliche Finanzmittel im Sinne der Zielsetzung der Immobilien- und Standortgemeinschaft zu verwenden.</w:t>
      </w:r>
    </w:p>
    <w:p>
      <w:r>
        <w:rPr>
          <w:color w:val="555555"/>
          <w:sz w:val="17"/>
        </w:rPr>
        <w:t xml:space="preserve">Zitiervorschlag: § 4 NW_29628 (Nordrhein-Westfalen)</w:t>
      </w:r>
    </w:p>
    <w:p>
      <w:r>
        <w:rPr>
          <w:color w:val="555555"/>
          <w:sz w:val="17"/>
        </w:rPr>
        <w:t xml:space="preserve">Quelle: nrwrecht, abgerufen 02.09.2026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https://recht.nulegal.eu/gesetze/NW_29628/4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