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NW_29628 (Nordrhein-Westfalen) — Verfahren zum Erlass einer Satzung für eine Immobilien- undStandortgemeinschaft</w:t>
      </w:r>
    </w:p>
    <w:p>
      <w:r>
        <w:rPr>
          <w:color w:val="555555"/>
          <w:sz w:val="18"/>
        </w:rPr>
        <w:t xml:space="preserve">ISGG NRW</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Immobilien- und Standortgemeinschaft beantragt bei der Gemeinde den Erlass einer Satzung nach § 1 Absatz 1. Mit dem Antrag sind ein Vorschlag für eine Gebietsabgrenzung mit Begründung und der Entwurf eines Maßnahmen- und Finanzierungskonzepts vorzulegen. Dabei kann das Maßnahmen- und Finanzierungskonzept eine angemessene Reserve, die 10 Prozent des Gesamtaufwandes nicht überschreitet, beinhalten.</w:t>
      </w:r>
    </w:p>
    <w:p>
      <w:r>
        <w:t xml:space="preserve">(2) Soll das Satzungsverfahren eingeleitet werden, unterrichtet die Gemeinde alle Grundeigentümerinnen, Grundeigentümer und Erbbauberechtigten der im vorgesehenen Gebiet gelegenen Grundstücke schriftlich über die Absicht, durch Satzung ein Gebiet für eine Immobilien- und Standortgemeinschaft festzulegen. Sie hat dabei insbesondere über die geplanten Maßnahmen und deren Finanzierung (Maßnahmen- und Finanzierungskonzept) zu unterrichten.</w:t>
      </w:r>
    </w:p>
    <w:p>
      <w:r>
        <w:t xml:space="preserve">(3) Die unterrichteten Personen können der beabsichtigten Satzung innerhalb eines Monats ab Zugang der Unterrichtung gegenüber der Gemeinde widersprechen. Sind Grundstücke mit einem Erbbaurecht belastet, so sind die Erbbauberechtigten anstelle der Eigentümerinnen und Eigentümer widerspruchsberechtigt. Widersprechen mehr als ein Drittel der Widerspruchsberechtigten oder die Widerspruchsberechtigten von mehr als einem Drittel der im Satzungsgebiet gelegenen Grundstücksflächen, darf die Satzung nicht erlassen werden.</w:t>
      </w:r>
    </w:p>
    <w:p>
      <w:r>
        <w:t xml:space="preserve">(4) Die Gemeinde hat die Öffentlichkeit und die Behörden und sonstigen Träger öffentlicher Belange vor Erlass der Satzung in geeigneter Weise zu beteiligen.</w:t>
      </w:r>
    </w:p>
    <w:p>
      <w:r>
        <w:t xml:space="preserve">(5) Ändern sich wesentliche Bestandteile des Maßnahmen- und Finanzierungskonzepts, ist das Verfahren nach den Absätzen 2 bis 4 zu wiederholen.</w:t>
      </w:r>
    </w:p>
    <w:p>
      <w:r>
        <w:t xml:space="preserve">(6) Die Immobilien- und Standortgemeinschaft muss sich vor dem Satzungsbeschluss nach Absatz 7 in einem öffentlich-rechtlichen Vertrag mit der Gemeinde mindestens verpflichten, die sich aus diesem Gesetz, der Satzung und dem Maßnahmen- und Finanzierungskonzept ergebenden Verpflichtungen, Ziele und Aufgaben umzusetzen.</w:t>
      </w:r>
    </w:p>
    <w:p>
      <w:r>
        <w:t xml:space="preserve">(7) Die Gemeinde beschließt die Festlegung eines Gebiets für eine Immobilien- und Standortgemeinschaft als Satzung. Der Beschluss der Satzung ist ortsüblich bekanntzumachen.</w:t>
      </w:r>
    </w:p>
    <w:p>
      <w:r>
        <w:t xml:space="preserve">(8) Nach erfolgtem Satzungsbeschluss kommt der Immobilien- und Standortgemeinschaft eine Rolle als Aufgabenträgerin zu. Zur Erreichung ihrer Ziele kann sie Stellungnahmen zu Vorhaben im Satzungsgebiet und solchen, die unmittelbar auf das Satzungsgebiet wirken, in förmlichen oder nicht förmlichen Anhörungsverfahren abgeben.</w:t>
      </w:r>
    </w:p>
    <w:p>
      <w:r>
        <w:rPr>
          <w:color w:val="555555"/>
          <w:sz w:val="17"/>
        </w:rPr>
        <w:t xml:space="preserve">Zitiervorschlag: § 3 NW_29628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https://recht.nulegal.eu/gesetze/NW_29628/3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