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NW_29628 (Nordrhein-Westfalen) — Gründung einer Immobilien- und Standortgemeinschaft</w:t>
      </w:r>
    </w:p>
    <w:p>
      <w:r>
        <w:rPr>
          <w:color w:val="555555"/>
          <w:sz w:val="18"/>
        </w:rPr>
        <w:t xml:space="preserve">ISGG NRW</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Für ein räumlich abgegrenztes Gebiet kann eine Immobilien- und Standortgemeinschaft gegründet werden. Die Beteiligung der Grundeigentümerinnen, Grundeigentümer und Erbbauberechtigten der im Gebiet gelegenen Grundstücke und der in dem Gebiet ansässigen Gewerbetreibenden, freiberuflich Tätigen und Dritten an der Immobilien- und Standortgemeinschaft ist zu ermöglichen. Die Immobilien- und Standortgemeinschaft bestimmt die für sie geltende Rechtsform.</w:t>
      </w:r>
    </w:p>
    <w:p>
      <w:r>
        <w:t xml:space="preserve">(2) Als Grundstücke im Sinne dieses Gesetzes gelten alle im Grundbuch verzeichneten Flächen mit Ausnahme der öffentlichen Grün-, Verkehrs- und Wasserflächen.</w:t>
      </w:r>
    </w:p>
    <w:p>
      <w:r>
        <w:t xml:space="preserve">(3) Die Kommune kann einer bestehenden oder in Gründung befindlichen Immobilien- und Standortgemeinschaft auf Antrag die ihr bekannten Namen und Anschriften der Grundeigentümerinnen und Grundeigentümer sowie der Erbbauberechtigten im abgegrenzten Gebiet mitteilen. Voraussetzung ist, dass ein berechtigtes Interesse begründet werden kann. Hierfür ist eine Zustimmung der Grundeigentümerinnen und Grundeigentümer im Gebiet vorzulegen, die mindestens 10 Prozent der Anzahl und zugleich mindestens 10 Prozent der Gesamtfläche der Grundstücke nach § 2 Absatz 1 erfasst. Die Immobilien- und Standortgemeinschaft darf die ihr bekannt gemachten Daten ausschließlich für Zwecke dieses Gesetzes verwenden und stellt sicher, dass eine zweckwidrige Verwendung ausgeschlossen ist. Die Daten sind zu vernichten, sobald sie für die Zwecke dieses Gesetzes nicht mehr benötigt werden.</w:t>
      </w:r>
    </w:p>
    <w:p>
      <w:r>
        <w:t xml:space="preserve">(4) Die Immobilien- und Standortgemeinschaft kann die Wahrnehmung ihrer Aufgaben und die Durchführung der standortbezogenen Maßnahmen Dritten übertragen.</w:t>
      </w:r>
    </w:p>
    <w:p>
      <w:r>
        <w:rPr>
          <w:color w:val="555555"/>
          <w:sz w:val="17"/>
        </w:rPr>
        <w:t xml:space="preserve">Zitiervorschlag: § 2 NW_29628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https://recht.nulegal.eu/gesetze/NW_29628/2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