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NW_29596 (Nordrhein-Westfalen)</w:t>
      </w:r>
    </w:p>
    <w:p>
      <w:r>
        <w:rPr>
          <w:color w:val="555555"/>
          <w:sz w:val="18"/>
        </w:rPr>
        <w:t xml:space="preserve">Verordnung zur Ausführung der Bundesrechtsanwaltsordnung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Tage nach der Verkündung in Kraft. Die Verordnung zur Ausführung der Bundesrechtsanwaltsordnung vom 29. September 1998 (GV. NRW. S. 578) und die Verordnung zur Übertragung von Befugnissen nach der Bundesrechtsanwaltsordnung vom 26. Januar 1999 (GV. NRW. S. 40) treten zum gleichen Zeitpunkt außer Kraft.</w:t>
      </w:r>
    </w:p>
    <w:p>
      <w:r>
        <w:t xml:space="preserve">Die Verordnung wird erlassen</w:t>
      </w:r>
    </w:p>
    <w:p>
      <w:r>
        <w:t xml:space="preserve">a) von der Landesregierung aufgrund des § 100 Abs. 2 Satz 1 der Bundesrechtsanwaltsordnung vom 1. August 1959 (BGBl. I S. 565), zuletzt geändert durch Artikel 1 des Gesetzes vom 26. März 2007 (BGBl. I S. 358)</w:t>
      </w:r>
    </w:p>
    <w:p>
      <w:r>
        <w:t xml:space="preserve">b) vom Justizministerium aufgrund des § 224 der Bundesrechtsanwaltsordnung vom 1. August 1959 (BGBl. I S. 565), zuletzt geändert durch Artikel 1 des Gesetzes vom 26. März 2007 (BGBl. I S. 358).</w:t>
      </w:r>
    </w:p>
    <w:p>
      <w:r>
        <w:t xml:space="preserve">Die Landesregierung</w:t>
      </w:r>
    </w:p>
    <w:p>
      <w:r>
        <w:t xml:space="preserve">Nordrhein-Westfalen</w:t>
      </w:r>
    </w:p>
    <w:p>
      <w:r>
        <w:t xml:space="preserve">Der Ministerpräsident</w:t>
      </w:r>
    </w:p>
    <w:p>
      <w:r>
        <w:t xml:space="preserve">Die Justizministerin</w:t>
      </w:r>
    </w:p>
    <w:p>
      <w:r>
        <w:rPr>
          <w:color w:val="555555"/>
          <w:sz w:val="17"/>
        </w:rPr>
        <w:t xml:space="preserve">Zitiervorschlag: § 5 NW_29596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https://recht.nulegal.eu/gesetze/NW_29596/5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