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NW_29596 (Nordrhein-Westfalen)</w:t>
      </w:r>
    </w:p>
    <w:p>
      <w:r>
        <w:rPr>
          <w:color w:val="555555"/>
          <w:sz w:val="18"/>
        </w:rPr>
        <w:t xml:space="preserve">Verordnung zur Ausführung der Bundesrechtsanwaltsordnung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Präsidentinnen und Präsidenten der Oberlandesgerichte wird zur Wahrnehmung der Staatsaufsicht nach § 62 Abs. 2 BRAO die Bearbeitung der Eingaben übertragen, in denen Beschwerde über die Rechtsanwaltskammer im Bezirk des jeweiligen Oberlandesgerichts geführt wird.</w:t>
      </w:r>
    </w:p>
    <w:p>
      <w:r>
        <w:t xml:space="preserve">(2) Abweichend von Absatz 1 behält sich das Justizministerium die Zuständigkeit für Eingaben von Justizbediensteten vor.</w:t>
      </w:r>
    </w:p>
    <w:p>
      <w:r>
        <w:rPr>
          <w:color w:val="555555"/>
          <w:sz w:val="17"/>
        </w:rPr>
        <w:t xml:space="preserve">Zitiervorschlag: § 4 NW_29596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