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NW_29596 (Nordrhein-Westfalen)</w:t>
      </w:r>
    </w:p>
    <w:p>
      <w:r>
        <w:rPr>
          <w:color w:val="555555"/>
          <w:sz w:val="18"/>
        </w:rPr>
        <w:t xml:space="preserve">Verordnung zur Ausführung der Bundesrechtsanwaltsordnung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 Präsidentinnen und Präsidenten der Oberlandesgerichte werden für den Bezirk ihres Oberlandesgerichts folgende Zuständigkeiten übertragen:</w:t>
      </w:r>
    </w:p>
    <w:p>
      <w:r>
        <w:t xml:space="preserve">1. die Aufsicht über das Anwaltsgericht nach § 92 Abs. 3 BRAO,</w:t>
      </w:r>
    </w:p>
    <w:p>
      <w:r>
        <w:t xml:space="preserve">2. die Ernennung der Vorsitzenden und die Bestellung des geschäftsleitenden Vorsitzenden des Anwaltsgerichts (§ 93 BRAO),</w:t>
      </w:r>
    </w:p>
    <w:p>
      <w:r>
        <w:t xml:space="preserve">3. die Ernennung der Mitglieder des Anwaltsgerichts und die Bestimmung der erforderlichen Zahl von Mitgliedern (§ 94 Abs. 2 BRAO),</w:t>
      </w:r>
    </w:p>
    <w:p>
      <w:r>
        <w:t xml:space="preserve">4. das Antragsrecht nach § 95 Abs. 2 BRAO sowie die Entlassung eines Mitglieds des Anwaltsgerichts gemäß § 95 Abs. 3 BRAO,</w:t>
      </w:r>
    </w:p>
    <w:p>
      <w:r>
        <w:t xml:space="preserve">5. die Bestätigung der Geschäftsordnung des Anwaltsgerichts nach § 98 Abs. 4 BRAO.</w:t>
      </w:r>
    </w:p>
    <w:p>
      <w:r>
        <w:rPr>
          <w:color w:val="555555"/>
          <w:sz w:val="17"/>
        </w:rPr>
        <w:t xml:space="preserve">Zitiervorschlag: § 3 NW_29596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https://recht.nulegal.eu/gesetze/NW_29596/3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