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NW_29596 (Nordrhein-Westfalen)</w:t>
      </w:r>
    </w:p>
    <w:p>
      <w:r>
        <w:rPr>
          <w:color w:val="555555"/>
          <w:sz w:val="18"/>
        </w:rPr>
        <w:t xml:space="preserve">Verordnung zur Ausführung der Bundesrechtsanwaltsordnung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Präsidentin oder dem Präsidenten des Oberlandesgerichts Hamm wird die Befugnis zur Ernennung und Entlassung von Berufsrichterinnen und Berufsrichtern</w:t>
      </w:r>
    </w:p>
    <w:p>
      <w:r>
        <w:t xml:space="preserve">(§ 102 BRAO) und von Rechtsanwältinnen und Rechtsanwälten (§ 103 BRAO) zu Mitgliedern des Anwaltsgerichtshofs bei dem Oberlandesgericht Hamm sowie zur Bestätigung der Geschäftsordnung des Anwaltsgerichtshofs nach § 105 Abs. 2 BRAO übertragen.</w:t>
      </w:r>
    </w:p>
    <w:p>
      <w:r>
        <w:rPr>
          <w:color w:val="555555"/>
          <w:sz w:val="17"/>
        </w:rPr>
        <w:t xml:space="preserve">Zitiervorschlag: § 2 NW_29596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https://recht.nulegal.eu/gesetze/NW_29596/2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