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NW_29583 (Nordrhein-Westfalen) — Verhältnis zum Baurecht</w:t>
      </w:r>
    </w:p>
    <w:p>
      <w:r>
        <w:rPr>
          <w:color w:val="555555"/>
          <w:sz w:val="18"/>
        </w:rPr>
        <w:t xml:space="preserve">Ökokonto 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gilt nicht für Maßnahmen zum Ausgleich im Rahmen der gemeindlichen Bauleitplanung nach § 1a Abs. 3, § 9 Abs. 1a und § 135a BauGB. Im Außenbereich nach § 35 BauGB sowie für Bebauungspläne, soweit sie eine Planfeststellung ersetzen, bleibt die Geltung dieser Verordnung unberührt.</w:t>
      </w:r>
    </w:p>
    <w:p>
      <w:r>
        <w:t xml:space="preserve">(2) Kompensationsmaßnahmen eines Ökokontos nach § 16 Absatz 1 des Bundesnaturschutzgesetzes können für die Ausgleichsverpflichtung gemäß § 1a BauGB durch die Gemeinde in Anspruch genommen werden. Die untere Naturschutzbehörde äußert sich hierzu im Rahmen ihrer Stellungnahme nach § 4 Abs. 2 BauGB.</w:t>
      </w:r>
    </w:p>
    <w:p>
      <w:r>
        <w:rPr>
          <w:color w:val="555555"/>
          <w:sz w:val="17"/>
        </w:rPr>
        <w:t xml:space="preserve">Zitiervorschlag: § 10 NW_29583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https://recht.nulegal.eu/gesetze/NW_29583/10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