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NW_29583 (Nordrhein-Westfalen) — Inhalt des Ökokontos</w:t>
      </w:r>
    </w:p>
    <w:p>
      <w:r>
        <w:rPr>
          <w:color w:val="555555"/>
          <w:sz w:val="18"/>
        </w:rPr>
        <w:t xml:space="preserve">Ökokonto VO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einem Ökokonto werden vorgezogene Kompensationsmaßnahmen, die unter den Voraussetzungen des § 16 Absatz 1 des Bundesnaturschutzgesetzes vom 29. Juli 2009 (BGBl. I S. 2542), das zuletzt durch Artikel 421 der Verordnung vom 31. August 2015 (BGBl. I S. 1474) geändert worden ist, anerkannt worden sind, nach Durchführung der Maßnahmen dokumentiert und durch Einbuchung oder Abbuchung verwaltet (Ökokontoführung). Maßnahmen, die zwar nach § 16 Absatz 1 des Bundesnaturschutzgesetzes anerkannt worden sind, deren Durchführung jedoch bis zu einer konkreten Inanspruchnahme im Rahmen der Zulassung eines Eingriffs zurückgestellt werden sollen, können als gesonderter Flächen- und Maßnahmenpool mitgeführt werden.</w:t>
      </w:r>
    </w:p>
    <w:p>
      <w:r>
        <w:rPr>
          <w:color w:val="555555"/>
          <w:sz w:val="17"/>
        </w:rPr>
        <w:t xml:space="preserve">Zitiervorschlag: § 1 NW_29583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https://recht.nulegal.eu/gesetze/NW_29583/1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