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NW_29528 (Nordrhein-Westfalen)</w:t>
      </w:r>
    </w:p>
    <w:p>
      <w:r>
        <w:rPr>
          <w:color w:val="555555"/>
          <w:sz w:val="18"/>
        </w:rPr>
        <w:t xml:space="preserve">Verordnung über die Führung von akademischen Graden und von Bezeichnungen im Hochschulbereich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März 2008</w:t>
      </w:r>
    </w:p>
    <w:p>
      <w:r>
        <w:t xml:space="preserve">Aufgrund des § 69 Abs. 6 des Gesetzes über die Hochschulen des Landes Nordrhein-Westfalen (Hochschulgesetz – HG) vom 31. Oktober 2006 (GV. NRW. S. 474), zuletzt geändert durch Artikel 2 des Gesetzes zur Neuregelung des Kunsthochschulrechts vom 13. März 2008 (GV. NRW. S. 195), wird verordnet:</w:t>
      </w:r>
    </w:p>
    <w:p>
      <w:r>
        <w:rPr>
          <w:color w:val="555555"/>
          <w:sz w:val="17"/>
        </w:rPr>
        <w:t xml:space="preserve">Zitiervorschlag: Eingangsformel NW_29528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https://recht.nulegal.eu/gesetze/NW_29528/eingangsformel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