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NW_29528 (Nordrhein-Westfalen)</w:t>
      </w:r>
    </w:p>
    <w:p>
      <w:r>
        <w:rPr>
          <w:color w:val="555555"/>
          <w:sz w:val="18"/>
        </w:rPr>
        <w:t xml:space="preserve">Verordnung über die Führung von akademischen Graden und von Bezeichnungen im Hochschulbereich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Inhaberinnen und Inhaber der nachstehend genannten russischen Doktorgrade können anstelle der im Herkunftsland verliehenen Bezeichnung die Bezeichnung „Dr.“ ohne fachlichen Zusatz, jedoch mit Angabe der verleihenden Einrichtung, führen:</w:t>
      </w:r>
    </w:p>
    <w:p>
      <w:r>
        <w:t xml:space="preserve">kandidat biologiceskich nauk</w:t>
      </w:r>
    </w:p>
    <w:p>
      <w:r>
        <w:t xml:space="preserve">kandidat chimiceskich nauk</w:t>
      </w:r>
    </w:p>
    <w:p>
      <w:r>
        <w:t xml:space="preserve">kandidat farmacevticeskich nauk</w:t>
      </w:r>
    </w:p>
    <w:p>
      <w:r>
        <w:t xml:space="preserve">kandidat filologiceskich nauk</w:t>
      </w:r>
    </w:p>
    <w:p>
      <w:r>
        <w:t xml:space="preserve">kandidat fiziko-matematiceskich nauk</w:t>
      </w:r>
    </w:p>
    <w:p>
      <w:r>
        <w:t xml:space="preserve">kandidat geograficeskich nauk</w:t>
      </w:r>
    </w:p>
    <w:p>
      <w:r>
        <w:t xml:space="preserve">kandidat geologo-mineralogiceskich nauk</w:t>
      </w:r>
    </w:p>
    <w:p>
      <w:r>
        <w:t xml:space="preserve">kandidat iskusstvovedenija</w:t>
      </w:r>
    </w:p>
    <w:p>
      <w:r>
        <w:t xml:space="preserve">kandidat medicinskich nauk</w:t>
      </w:r>
    </w:p>
    <w:p>
      <w:r>
        <w:t xml:space="preserve">kandidat nauk (architektura)</w:t>
      </w:r>
    </w:p>
    <w:p>
      <w:r>
        <w:t xml:space="preserve">kandidat psichologiceskich nauk</w:t>
      </w:r>
    </w:p>
    <w:p>
      <w:r>
        <w:t xml:space="preserve">kandidat selskochozjajstvennych nauk</w:t>
      </w:r>
    </w:p>
    <w:p>
      <w:r>
        <w:t xml:space="preserve">kandidat techniceskich nauk</w:t>
      </w:r>
    </w:p>
    <w:p>
      <w:r>
        <w:t xml:space="preserve">kandidat veterinarnych nauk.</w:t>
      </w:r>
    </w:p>
    <w:p>
      <w:r>
        <w:t xml:space="preserve">(2) Inhaberinnen und Inhaber des in den Vereinigten Staaten von Amerika erworbenen Grades „Doctor of Philosophy“, abgekürzt „Ph.D.“, oder „Doctor of Science“, abgekürzt in der Regel: „D.Sc.“, können, sofern die verleihende Einrichtung von der Carnegie Foundation for the Advancement of Teaching als „Research 1: Very high Spending and Doctorate Production“ oder als „Research 2: High Spending and Doctorate Production“ oder als „Research Colleges and Universities“ in der Carnegie-Liste klassifiziert ist, die Abkürzung „Dr.“ ohne weitere Zusätze führen.</w:t>
      </w:r>
    </w:p>
    <w:p>
      <w:r>
        <w:t xml:space="preserve">(3) Inhaber von folgenden Doktorgraden</w:t>
      </w:r>
    </w:p>
    <w:p>
      <w:r>
        <w:t xml:space="preserve">1. Australien: „Doctor of …“ (mit jeweils unterschiedlicher Abkürzung)</w:t>
      </w:r>
    </w:p>
    <w:p>
      <w:r>
        <w:t xml:space="preserve">2. Israel: „Doctor of …“ (mit jeweils unterschiedlicher Abkürzung)</w:t>
      </w:r>
    </w:p>
    <w:p>
      <w:r>
        <w:t xml:space="preserve">3. Japan: „Doctor of …“ (hakushi …)</w:t>
      </w:r>
    </w:p>
    <w:p>
      <w:r>
        <w:t xml:space="preserve">4. Kanada: „Doctor of Philosophy“ (Abkürzung „Ph.D.“)</w:t>
      </w:r>
    </w:p>
    <w:p>
      <w:r>
        <w:t xml:space="preserve">5. Vereinigtes Königreich: „Doctor of …“ mit jeweils unterschiedlicher Abkürzung</w:t>
      </w:r>
    </w:p>
    <w:p>
      <w:r>
        <w:t xml:space="preserve">können anstelle der im Herkunftsland zugelassenen oder nachweislich allgemein üblichen Abkürzungen die Abkürzung „Dr.“ jeweils ohne fachlichen Zusatz und Herkunftsbezeichnung führen.</w:t>
      </w:r>
    </w:p>
    <w:p>
      <w:r>
        <w:t xml:space="preserve">(4) Die gleichzeitige Führung mehrerer Bezeichnungen aufgrund eines Grades ist nicht zulässig.</w:t>
      </w:r>
    </w:p>
    <w:p>
      <w:r>
        <w:rPr>
          <w:color w:val="555555"/>
          <w:sz w:val="17"/>
        </w:rPr>
        <w:t xml:space="preserve">Zitiervorschlag: § 2 NW_29528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https://recht.nulegal.eu/gesetze/NW_29528/2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