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NW_29513 (Nordrhein-Westfalen)</w:t>
      </w:r>
    </w:p>
    <w:p>
      <w:r>
        <w:rPr>
          <w:color w:val="555555"/>
          <w:sz w:val="18"/>
        </w:rPr>
        <w:t xml:space="preserve">SOLAS-Ausführungsvereinbarung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Sofern im Rahmen von § 1 dieser Vereinbarung eine Maßnahme nach Regel 9 Absatz 1.3 oder Regel 9 Absatz 2.5 des Kapitels XI-2 der Anlage des SOLAS-Übereinkommens oder eine minderschwere Maßnahme getroffen wird, sind das Bundesamt für Seeschifffahrt und Hydrographie sowie die Zentrale Kontaktstelle des Bundes unverzüglich zu unterrichten.</w:t>
      </w:r>
    </w:p>
    <w:p>
      <w:r>
        <w:rPr>
          <w:color w:val="555555"/>
          <w:sz w:val="17"/>
        </w:rPr>
        <w:t xml:space="preserve">Zitiervorschlag: § 5 NW_29513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https://recht.nulegal.eu/gesetze/NW_29513/5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