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nach § 1 werden durch die Wasserschutzpolizei des Landes Nordrhein-Westfalen (§ 3 Polizeiorganisationsgesetz NRW) in ihrem Zuständigkeitsbereich nach Maßgabe einer vom Bundesamt für Seeschifffahrt und Hydrographie zu erstellenden Dienstanweisung ausgeführt.</w:t>
      </w:r>
    </w:p>
    <w:p>
      <w:r>
        <w:t xml:space="preserve">(2) Sind Kräfte der Wasserschutzpolizei des Landes Nordrhein-Westfalen für die Erfüllung der Aufgaben nach dieser Vereinbarung nicht verfügbar, ist das Bundesamt für Seeschifffahrt und Hydrographie zu informieren.</w:t>
      </w:r>
    </w:p>
    <w:p>
      <w:r>
        <w:rPr>
          <w:color w:val="555555"/>
          <w:sz w:val="17"/>
        </w:rPr>
        <w:t xml:space="preserve">Zitiervorschlag: § 2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