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NW_29502 (Nordrhein-Westfalen)</w:t>
      </w:r>
    </w:p>
    <w:p>
      <w:r>
        <w:rPr>
          <w:color w:val="555555"/>
          <w:sz w:val="18"/>
        </w:rPr>
        <w:t xml:space="preserve">Verordnung zur Übertragung von Befugnissen nach den §§ 57 bis 59 der Landeshaushaltsordnung im Geschäftsbereich des Ministeriums für Kultur und Wissenschaft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11. Februar 2008</w:t>
      </w:r>
    </w:p>
    <w:p>
      <w:r>
        <w:t xml:space="preserve">Aufgrund der §§ 57 Satz 2, 58 Abs. 1 Satz 2 und 59 Abs. 1 Satz 2 Landeshaushaltsordnung (LHO) vom 26. April 1999 (GV. NRW. S. 158), zuletzt geändert durch Artikel 6 des Gesetzes vom 30. Oktober 2007 (GV. NRW. S. 443), wird – soweit erforderlich mit Einwilligung des Finanzministeriums – verordnet:</w:t>
      </w:r>
    </w:p>
    <w:p>
      <w:r>
        <w:rPr>
          <w:color w:val="555555"/>
          <w:sz w:val="17"/>
        </w:rPr>
        <w:t xml:space="preserve">Zitiervorschlag: Volltext NW_29502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https://recht.nulegal.eu/gesetze/NW_29502/volltext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