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NW_29502 (Nordrhein-Westfalen)</w:t>
      </w:r>
    </w:p>
    <w:p>
      <w:r>
        <w:rPr>
          <w:color w:val="555555"/>
          <w:sz w:val="18"/>
        </w:rPr>
        <w:t xml:space="preserve">Verordnung zur Übertragung von Befugnissen nach den §§ 57 bis 59 der Landeshaushaltsordnung im Geschäftsbereich des Ministeriums für Kultur und Wissenschaft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gilt für Landesober- und Landesmittelbehörden, Einrichtungen des Landes und Beliehene im Geschäftsbereich des Ministeriums für Kultur und Wissenschaft des Landes Nordrhein-Westfalen.</w:t>
      </w:r>
    </w:p>
    <w:p>
      <w:r>
        <w:t xml:space="preserve">(2) Landesmittelbehörden im Sinne dieser Verordnung sind die Bezirksregierungen, soweit sie den Landeshaushalt ausführen, und die Bezirksregierung Köln in Angelegenheiten der Ausbildungsförderung.</w:t>
      </w:r>
    </w:p>
    <w:p>
      <w:r>
        <w:t xml:space="preserve">(3) Einrichtungen des Landes im Sinne dieser Verordnung sind:</w:t>
      </w:r>
    </w:p>
    <w:p>
      <w:r>
        <w:t xml:space="preserve">1. die Kunst- und Musikhochschulen NRW,</w:t>
      </w:r>
    </w:p>
    <w:p>
      <w:r>
        <w:t xml:space="preserve">2. die Studierendenwerke,</w:t>
      </w:r>
    </w:p>
    <w:p>
      <w:r>
        <w:t xml:space="preserve">3. das Landesarchiv NRW,</w:t>
      </w:r>
    </w:p>
    <w:p>
      <w:r>
        <w:t xml:space="preserve">4. das Hochschulbibliothekszentrum des Landes Nordrhein-Westfalen in Köln und</w:t>
      </w:r>
    </w:p>
    <w:p>
      <w:r>
        <w:t xml:space="preserve">5. die Staatliche Zentralstelle für Fernunterricht in Köln.</w:t>
      </w:r>
    </w:p>
    <w:p>
      <w:r>
        <w:t xml:space="preserve">(4) Beliehene des Landes NRW im Sinne dieser Verordnung sind:</w:t>
      </w:r>
    </w:p>
    <w:p>
      <w:r>
        <w:t xml:space="preserve">1. die Leitmarktagentur. NRW und</w:t>
      </w:r>
    </w:p>
    <w:p>
      <w:r>
        <w:t xml:space="preserve">2. die NRW.Bank.</w:t>
      </w:r>
    </w:p>
    <w:p>
      <w:r>
        <w:rPr>
          <w:color w:val="555555"/>
          <w:sz w:val="17"/>
        </w:rPr>
        <w:t xml:space="preserve">Zitiervorschlag: § 2 NW_29502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https://recht.nulegal.eu/gesetze/NW_29502/2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