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NW_29500 (Nordrhein-Westfalen) — Ermittlung des Ausbildungsergebnisses</w:t>
      </w:r>
    </w:p>
    <w:p>
      <w:r>
        <w:rPr>
          <w:color w:val="555555"/>
          <w:sz w:val="18"/>
        </w:rPr>
        <w:t xml:space="preserve">APVOKontrAss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Ausbildungsergebnis ermittelt der Prüfungsausschuss auf Grund der während der gesamten Ausbildung erbrachten Leistungsnachweise und Prüfungsleistungen.</w:t>
      </w:r>
    </w:p>
    <w:p>
      <w:r>
        <w:t xml:space="preserve">(2) Für die Gesamtnote der Ausbildung werden die einzelnen Leistungen wie folgt gewichtet:</w:t>
      </w:r>
    </w:p>
    <w:p>
      <w:r>
        <w:t xml:space="preserve">1. die Punktzahl des Befähigungsberichts (§ 10 Abs. 1) mit 20 v. H.,</w:t>
      </w:r>
    </w:p>
    <w:p>
      <w:r>
        <w:t xml:space="preserve">2. die Punktzahl der Gesamtnote der Aufsichtsarbeiten (§ 12 Abs. 4) mit 20 v. H.,</w:t>
      </w:r>
    </w:p>
    <w:p>
      <w:r>
        <w:t xml:space="preserve">3. das Ergebnis der Abschlussprüfung (§ 17 Abs. 5), und zwar</w:t>
      </w:r>
    </w:p>
    <w:p>
      <w:r>
        <w:t xml:space="preserve">a) der praktischen Prüfung mit 40 v. H.,</w:t>
      </w:r>
    </w:p>
    <w:p>
      <w:r>
        <w:t xml:space="preserve">b) der mündlichen Prüfung mit 20 v. H.</w:t>
      </w:r>
    </w:p>
    <w:p>
      <w:r>
        <w:t xml:space="preserve">(3) Der Prüfungsausschuss kann von dem nach Absatz 2 ermittelten Ergebnis bis zu einem Punkt abweichen, wenn dadurch die Leistung von Auszubildenden zutreffender gekennzeichnet wird. Die Abweichung ist in der Prüfungsniederschrift zu begründen.</w:t>
      </w:r>
    </w:p>
    <w:p>
      <w:r>
        <w:rPr>
          <w:color w:val="555555"/>
          <w:sz w:val="17"/>
        </w:rPr>
        <w:t xml:space="preserve">Zitiervorschlag: § 22 NW_29500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https://recht.nulegal.eu/gesetze/NW_29500/22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NW_29500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