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NW_29491 (Nordrhein-Westfalen)</w:t>
      </w:r>
    </w:p>
    <w:p>
      <w:r>
        <w:rPr>
          <w:color w:val="555555"/>
          <w:sz w:val="18"/>
        </w:rPr>
        <w:t xml:space="preserve">Badegewässerverordnung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Dezember 2007</w:t>
      </w:r>
    </w:p>
    <w:p>
      <w:r>
        <w:t xml:space="preserve">Aufgrund des § 2a des Landeswassergesetzes in der Fassung der Bekanntmachung vom 25. Juni 1995 (GV. NRW. S. 926), zuletzt geändert durch Artikel 1 des Gesetzes vom 3. Mai 2005 (GV. NRW. S. 463), wird im Einvernehmen mit dem für Umweltschutz zuständigen Ausschuss des Landtags verordnet:</w:t>
      </w:r>
    </w:p>
    <w:p>
      <w:r>
        <w:rPr>
          <w:color w:val="555555"/>
          <w:sz w:val="17"/>
        </w:rPr>
        <w:t xml:space="preserve">Zitiervorschlag: Volltext NW_29491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https://recht.nulegal.eu/gesetze/NW_29491/volltext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