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NW_29491 (Nordrhein-Westfalen) — Inkrafttreten</w:t>
      </w:r>
    </w:p>
    <w:p>
      <w:r>
        <w:rPr>
          <w:color w:val="555555"/>
          <w:sz w:val="18"/>
        </w:rPr>
        <w:t xml:space="preserve">Badegewässerverordnung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Zugleich tritt die Verordnung über die Qualität der Badegewässer vom 14. April 2000 (GV. NRW. S. 445) außer Kraft.</w:t>
      </w:r>
    </w:p>
    <w:p>
      <w:r>
        <w:t xml:space="preserve">Über die Erfahrungen mit dieser Verordnung ist der Landesregierung bis zum 31. Dezember 2012 zu berichten.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14 NW_29491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https://recht.nulegal.eu/gesetze/NW_29491/14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