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NW_29491 (Nordrhein-Westfalen) — Zusammenarbeit bei grenzüberschreitenden Gewässern</w:t>
      </w:r>
    </w:p>
    <w:p>
      <w:r>
        <w:rPr>
          <w:color w:val="555555"/>
          <w:sz w:val="18"/>
        </w:rPr>
        <w:t xml:space="preserve">Badegewässerverordnung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Kommt es in einem Einzugsgebiet zu Auswirkungen auf die Badegewässerqualität, die die Landes- oder Staatsgrenzen überschreiten, so stellt die zuständige Behörde einen angemessenen Informationsaustausch mit dem Ziel sicher, gemeinsame Maßnahmen zur Bekämpfung dieser Auswirkungen zu erarbeiten.</w:t>
      </w:r>
    </w:p>
    <w:p>
      <w:r>
        <w:rPr>
          <w:color w:val="555555"/>
          <w:sz w:val="17"/>
        </w:rPr>
        <w:t xml:space="preserve">Zitiervorschlag: § 10 NW_29491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https://recht.nulegal.eu/gesetze/NW_29491/10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NW_29491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