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NW_29489 (Nordrhein-Westfalen) — Inkrafttreten, Berichtspflicht</w:t>
      </w:r>
    </w:p>
    <w:p>
      <w:r>
        <w:rPr>
          <w:color w:val="555555"/>
          <w:sz w:val="18"/>
        </w:rPr>
        <w:t xml:space="preserve">Konzentrations VO StBerG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Verordnung tritt am Tag nach ihrer Verkündung in Kraft. Gleichzeitig tritt die Verordnung über die Zusammenfassung der zweitinstanzlichen berufsgerichtlichen Verfahren der Steuerberater und Steuerbevollmächtigten vom 7. Mai 1962 (GV. NRW. S. 222) außer Kraft.</w:t>
      </w:r>
    </w:p>
    <w:p>
      <w:r>
        <w:rPr>
          <w:color w:val="555555"/>
          <w:sz w:val="17"/>
        </w:rPr>
        <w:t xml:space="preserve">Zitiervorschlag: § 2 NW_29489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https://recht.nulegal.eu/gesetze/NW_29489/2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