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NW_29475 (Nordrhein-Westfalen)</w:t>
      </w:r>
    </w:p>
    <w:p>
      <w:r>
        <w:rPr>
          <w:color w:val="555555"/>
          <w:sz w:val="18"/>
        </w:rPr>
        <w:t xml:space="preserve">Satzung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November 2007</w:t>
      </w:r>
    </w:p>
    <w:p>
      <w:r>
        <w:t xml:space="preserve">Auf Grund der §§ 33 Abs. 1 und 34 Abs. 1 Satz 1 des Vierten Buches Sozialgesetzbuch (SGB IV) - i.V.m. § 116 Abs. 3 des Siebten Buches Sozialgesetzbuch (SGB VII) und Artikel 1 § 5 der Verordnung über die Fusion der Unfallversicherungsträger der öffentlichen Hand in Nordrhein-Westfalen haben die Vertreterversammlungen der Landesunfallkasse Nordrhein-Westfalen, des Rheinischen Gemeindeunfallversicherungsverbandes, des Gemeindeunfallversicherungsverbandes Westfalen-Lippe und der Feuerwehr-Unfallkasse Nordrhein-Westfalen folgende Satzung der Unfallkasse Nordrhein-Westfalen - nachstehend „Unfallkasse“ genannt - beschlossen:*</w:t>
      </w:r>
    </w:p>
    <w:p>
      <w:r>
        <w:t xml:space="preserve">*Soweit in der Satzung die männliche Sprachform verwendet wird, soll hiervon auch die weibliche Form mit umfasst werden.</w:t>
      </w:r>
    </w:p>
    <w:p>
      <w:r>
        <w:t xml:space="preserve">Abschnitt I</w:t>
      </w:r>
    </w:p>
    <w:p>
      <w:r>
        <w:t xml:space="preserve">Allgemeine Rechtsgrundlagen</w:t>
      </w:r>
    </w:p>
    <w:p>
      <w:r>
        <w:rPr>
          <w:color w:val="555555"/>
          <w:sz w:val="17"/>
        </w:rPr>
        <w:t xml:space="preserve">Zitiervorschlag: Volltext NW_29475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https://recht.nulegal.eu/gesetze/NW_29475/volltext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