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NW_29475 (Nordrhein-Westfalen) — Satzungsänderung</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1Zur Änderung der Satzung sind die Anwesenheit von mindestens zwei Dritteln der stimmberechtigten Mitglieder der Vertreterversammlung und eine Mehrheit von mindestens zwei Dritteln der anwesenden stimmberechtigten Mitglieder der Vertreterversammlung erforderlich. 2Bei Beschlussunfähigkeit ist eine neue Sitzung einzuberufen, in der die Vertreterversammlung ohne Rücksicht auf die Zahl der erschienenen Mitglieder beschlussfähig ist; in der Ladung ist darauf hinzuweisen.</w:t>
      </w:r>
    </w:p>
    <w:p>
      <w:r>
        <w:t xml:space="preserve">(2) Beschlussfassungen, die Fragen einer Verlegung des Sitzes oder des Standortes der Zentralverwaltung oder der Regionaldirektionen im Sinne von § 1 Abs. 1 Sätze 2 und 3 betreffen, bedürfen der Zustimmung von mindestens drei Vierteln sämtlicher stimmberechtigten Mitglieder der Vertreterversammlung.</w:t>
      </w:r>
    </w:p>
    <w:p>
      <w:r>
        <w:t xml:space="preserve">(3) 1Wird die Satzung geändert und ist diese Änderung öffentlich bekannt gemacht (§ 1 Abs. 5 Satz 1), stellt die oder der Vorsitzende des Vorstandes die sich aus der Änderung der Satzung ergebende Neufassung des Satzungstextes schriftlich fest und entscheidet, ob eine öffentliche Bekanntmachung des neu gefassten Satzungstextes ganz oder teilweise erfolgen soll. 2Satz 1 gilt auch, wenn der Satzungstext von der Neufassung zitierter Vorschriften oder einer Anpassung an veränderte Regeln der Rechtschreibung betroffen ist, ohne dass dies eine inhaltliche Änderung der Satzung zur Folge hat.</w:t>
      </w:r>
    </w:p>
    <w:p>
      <w:r>
        <w:rPr>
          <w:color w:val="555555"/>
          <w:sz w:val="17"/>
        </w:rPr>
        <w:t xml:space="preserve">Zitiervorschlag: § 44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