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43a NW_29475 (Nordrhein-Westfalen) — Leistungen nach dem SGB XIV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Unfallkasse erbringt für das Land Nordrhein-Westfalen ab dem 1. Januar 2024 die Hilfsmittelversorgung auf der Grundlage von §§ 46 in Verbindung mit 57 Absatz 5 des Sozialgesetzbuches Vierzehntes Buch – Soziale Entschädigung – vom 12. Dezember 2019 (BGBl. I S. 2652) in der jeweils aktuellen Fassung in den Fällen, in denen die im Sozialgesetzbuch Vierzehntes Buch – Soziale Entschädigung – im Einzelnen geregelten leistungsrechtlichen Voraussetzungen für eine Hilfsmittelgewährung vorliegen.</w:t>
      </w:r>
    </w:p>
    <w:p>
      <w:r>
        <w:t xml:space="preserve">Abschnitt IX</w:t>
      </w:r>
    </w:p>
    <w:p>
      <w:r>
        <w:t xml:space="preserve">Übergangs- und Schlussbestimmungen</w:t>
      </w:r>
    </w:p>
    <w:p>
      <w:r>
        <w:rPr>
          <w:color w:val="555555"/>
          <w:sz w:val="17"/>
        </w:rPr>
        <w:t xml:space="preserve">Zitiervorschlag: § 43a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https://recht.nulegal.eu/gesetze/NW_29475/43a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