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NW_29475 (Nordrhein-Westfalen) — Ordnungswidrigkeiten</w:t>
      </w:r>
    </w:p>
    <w:p>
      <w:r>
        <w:rPr>
          <w:color w:val="555555"/>
          <w:sz w:val="18"/>
        </w:rPr>
        <w:t xml:space="preserve">Satzung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1Ordnungswidrig handelt, wer vorsätzlich oder fahrlässig</w:t>
      </w:r>
    </w:p>
    <w:p>
      <w:r>
        <w:t xml:space="preserve">1. einer Unfallverhütungsvorschrift nach § 15 Abs. 1 oder 2 SGB VII zuwiderhandelt, soweit sie für einen bestimmten Tatbestand auf diese Bußgeldvorschrift verweist (§ 209 Abs. 1 Nr. 1 SGB VII),</w:t>
      </w:r>
    </w:p>
    <w:p>
      <w:r>
        <w:t xml:space="preserve">2. einer vollziehbaren Anordnung nach § 19 Abs. 1 SGB VII zuwiderhandelt (§ 209 Abs. 1 Nr. 2 SGB VII),</w:t>
      </w:r>
    </w:p>
    <w:p>
      <w:r>
        <w:t xml:space="preserve">3. entgegen § 19 Abs. 2 Satz 2 SGB VII eine Maßnahme nicht duldet (§ 209 Abs. 1 Nr. 3 SGB VII),</w:t>
      </w:r>
    </w:p>
    <w:p>
      <w:r>
        <w:t xml:space="preserve">4. entgegen § 138 SGB VII die Versicherten nicht unterrichtet (§ 209 Abs. 1 Nr. 4 SGB VII),</w:t>
      </w:r>
    </w:p>
    <w:p>
      <w:r>
        <w:t xml:space="preserve">5. entgegen § 165 Abs. 1 Satz 1 SGB VII eine Meldung nicht, nicht richtig, nicht vollständig, nicht in der vorgeschriebenen Weise oder nicht rechtzeitig macht (§ 209 Abs. 1 Nr. 5 SGB VII),</w:t>
      </w:r>
    </w:p>
    <w:p>
      <w:r>
        <w:t xml:space="preserve">6. entgegen § 165 Abs. 4 SGB VII eine Aufzeichnung nicht führt oder nicht oder nicht mindestens fünf Jahre aufbewahrt (§ 209 Abs. 1 Nr. 7 SGB VII),</w:t>
      </w:r>
    </w:p>
    <w:p>
      <w:r>
        <w:t xml:space="preserve">7. entgegen § 192 Abs. 1 Nr. 1 bis 3 oder Abs. 4 Satz 1 SGB VII eine Mitteilung nicht, nicht richtig, nicht vollständig oder nicht rechtzeitig macht (§ 209 Abs. 1 Nr. 8 SGB VII),</w:t>
      </w:r>
    </w:p>
    <w:p>
      <w:r>
        <w:t xml:space="preserve">8. entgegen § 193 Abs. 1 Satz 1 SGB VII, auch in Verbindung mit § 193 Abs. 1 Satz 2, Abs. 2, Abs. 3 Satz 2, Abs. 4 oder Abs. 6 SGB VII eine Anzeige nicht, nicht richtig oder nicht rechtzeitig erstattet (§ 209 Abs. 1 Nr. 9 SGB VII),</w:t>
      </w:r>
    </w:p>
    <w:p>
      <w:r>
        <w:t xml:space="preserve">9. entgegen § 203 Abs. 1 Satz 1 SGB VII eine Auskunft nicht, nicht richtig, nicht vollständig oder nicht rechtzeitig erteilt (§ 209 Abs. 1 Nr. 11 SGB VII).</w:t>
      </w:r>
    </w:p>
    <w:p>
      <w:r>
        <w:t xml:space="preserve">2Ordnungswidrig handelt auch, wer als Unternehmerin oder Unternehmer vorsätzlich Versicherten Beiträge ganz oder zum Teil auf das Arbeitsentgelt anrechnet (§ 209 Abs. 2 SGB VII).</w:t>
      </w:r>
    </w:p>
    <w:p>
      <w:r>
        <w:t xml:space="preserve">(2) Die Ordnungswidrigkeit kann in den Fällen des Absatzes 1 Satz 1 Nr. 1 bis 3 mit einer Geldbuße bis zu zehntausend Euro, in den Fällen des Absatzes 1 Satz 2 mit einer Geldbuße bis zu fünftausend Euro und in den übrigen Fällen mit einer Geldbuße bis zu zweitausendfünfhundert Euro geahndet werden (§ 209 Abs. 3 SGB VII).</w:t>
      </w:r>
    </w:p>
    <w:p>
      <w:r>
        <w:t xml:space="preserve">(3) Soweit die Bußgeldandrohung sich gegen die Unternehmerin oder den Unternehmer richtet, gilt sie auch gegenüber ihren oder seinen Vertretungsberechtigten oder Beauftragten. Ist die Unternehmerin oder der Unternehmer eine juristische Person, so kann neben der oder dem Vertretungsberechtigten oder Beauftragten auch gegen diese ein Bußgeld verhängt werden (§ 30 OWiG).</w:t>
      </w:r>
    </w:p>
    <w:p>
      <w:r>
        <w:t xml:space="preserve">Abschnitt VIII</w:t>
      </w:r>
    </w:p>
    <w:p>
      <w:r>
        <w:t xml:space="preserve">Übertragene Aufgaben</w:t>
      </w:r>
    </w:p>
    <w:p>
      <w:r>
        <w:rPr>
          <w:color w:val="555555"/>
          <w:sz w:val="17"/>
        </w:rPr>
        <w:t xml:space="preserve">Zitiervorschlag: § 38 NW_29475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https://recht.nulegal.eu/gesetze/NW_29475/38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