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NW_29475 (Nordrhein-Westfalen) — Rücklage</w:t>
      </w:r>
    </w:p>
    <w:p>
      <w:r>
        <w:rPr>
          <w:color w:val="555555"/>
          <w:sz w:val="18"/>
        </w:rPr>
        <w:t xml:space="preserve">Satzung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1Zur Sicherstellung ihrer Leistungspflicht kann die Unfallkasse eine Rücklage im Sinne des §§ 82 SGB IV, 172a SGB VII bereithalten. 2Das Nähere bestimmt die Vertreterversammlung.</w:t>
      </w:r>
    </w:p>
    <w:p>
      <w:r>
        <w:t xml:space="preserve">(2) Die Vertreterversammlung kann auf Vorschlag des Vorstandes die Vorhaltung und Finanzierung einer Rücklage sowie Zuweisungen an die Rücklage und Entnahmen aus der Rücklage beschließen.</w:t>
      </w:r>
    </w:p>
    <w:p>
      <w:r>
        <w:rPr>
          <w:color w:val="555555"/>
          <w:sz w:val="17"/>
        </w:rPr>
        <w:t xml:space="preserve">Zitiervorschlag: § 30 NW_29475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https://recht.nulegal.eu/gesetze/NW_29475/30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