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NW_29475 (Nordrhein-Westfalen) — Zuständigkeit für Unternehmen</w:t>
      </w:r>
    </w:p>
    <w:p>
      <w:r>
        <w:rPr>
          <w:color w:val="555555"/>
          <w:sz w:val="18"/>
        </w:rPr>
        <w:t xml:space="preserve">Satzung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Unfallkasse ist in ihrem Gebiet zuständig</w:t>
      </w:r>
    </w:p>
    <w:p>
      <w:r>
        <w:t xml:space="preserve">1. für die Unternehmen (Verwaltungen, Anstalten, Einrichtungen und Betriebe)</w:t>
      </w:r>
    </w:p>
    <w:p>
      <w:r>
        <w:t xml:space="preserve">a) des Landes (§ 128 Abs. 1 Nr. 1 SGB VII) und</w:t>
      </w:r>
    </w:p>
    <w:p>
      <w:r>
        <w:t xml:space="preserve">b) der Gemeinden und Gemeindeverbände (§ 129 Abs. 1 Nr. 1 SGB VII),</w:t>
      </w:r>
    </w:p>
    <w:p>
      <w:r>
        <w:t xml:space="preserve">soweit nicht in §§ 129 Abs. 4, 218 d Abs. 3 SGB VII etwas anderes bestimmt ist,</w:t>
      </w:r>
    </w:p>
    <w:p>
      <w:r>
        <w:t xml:space="preserve">2. für in selbständiger Rechtsform betriebene Unternehmen, an denen das Land, Gemeinden oder Gemeindeverbände allein oder zusammen mit anderen Gemeinden oder Gemeindeverbänden, einem oder mehreren Bundesländern oder dem Bund</w:t>
      </w:r>
    </w:p>
    <w:p>
      <w:r>
        <w:t xml:space="preserve">a) bei Kapitalgesellschaften unmittelbar oder mittelbar die Mehrheit der Kapitalanteile auf sich vereinen oder</w:t>
      </w:r>
    </w:p>
    <w:p>
      <w:r>
        <w:t xml:space="preserve">b) bei sonstigen Unternehmen die Stimmenmehrheit in dem Organ, dem die Verwaltung und Führung des Unternehmens obliegt, auf sich vereinen,</w:t>
      </w:r>
    </w:p>
    <w:p>
      <w:r>
        <w:t xml:space="preserve">(§§ 128 Abs. 1 Nr. 1 Buchstabe a, 129 Abs. 1 Nr. 1 Buchstabe a, 129 a SGB VII), soweit nicht in §§ 129 Abs. 4, 218 d Abs. 3 SGB VII etwas anderes bestimmt ist,</w:t>
      </w:r>
    </w:p>
    <w:p>
      <w:r>
        <w:t xml:space="preserve">3. für in selbständiger Rechtsform betriebene Unternehmen im Sinne des § 3 Abs. 1 Nr. 2 der Satzung, für welche die Unfallkasse am 31. Dezember 1996 zuständig war und bei denen seitdem keine wesentliche Änderung im Sinne des § 218d Abs. 2 SGB VII eingetreten ist,</w:t>
      </w:r>
    </w:p>
    <w:p>
      <w:r>
        <w:t xml:space="preserve">4. für Körperschaften, Anstalten oder Stiftungen des öffentlichen Rechts, für welche die Unfallkasse nach anderen gesetzlichen Vorschriften Unfallversicherungsträger geworden ist (Artikel 4 § 11 des Gesetzes zur Neuordnung des Rechts der gesetzlichen Unfallversicherung vom 30. April 1963 – UVNG),</w:t>
      </w:r>
    </w:p>
    <w:p>
      <w:r>
        <w:t xml:space="preserve">5. für Haushalte (§ 129 Abs. 1 Nr. 2 SGB VII),</w:t>
      </w:r>
    </w:p>
    <w:p>
      <w:r>
        <w:t xml:space="preserve">6. für Feuerwehren im Sinne des § 7 des Gesetzes über den Brandschutz, die Hilfeleistung und den Katastrophenschutz (BHKG) vom 17. Dezember 2015 (GV. NRW. S. 886), soweit nicht ein anderer Träger der Unfallversicherung zuständig ist,</w:t>
      </w:r>
    </w:p>
    <w:p>
      <w:r>
        <w:t xml:space="preserve">7. für sonstige Einrichtungen zur Hilfe bei Unglücksfällen, soweit für sie nicht ein anderer Träger der Unfallversicherung zuständig ist (§ 128 Abs. 1 Nr. 6 SGB VII),</w:t>
      </w:r>
    </w:p>
    <w:p>
      <w:r>
        <w:t xml:space="preserve">(2) Die Unfallkasse ist für sich und ihre eigenen Unternehmen zuständig (§ 132 SGB VII).</w:t>
      </w:r>
    </w:p>
    <w:p>
      <w:r>
        <w:t xml:space="preserve">(3) Ein Unternehmen beginnt bereits mit der Aufnahme der vorbereitenden Arbeiten für das Unternehmen (§ 136 Abs. 1 Satz 2 SGB VII).</w:t>
      </w:r>
    </w:p>
    <w:p>
      <w:r>
        <w:rPr>
          <w:color w:val="555555"/>
          <w:sz w:val="17"/>
        </w:rPr>
        <w:t xml:space="preserve">Zitiervorschlag: § 3 NW_29475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https://recht.nulegal.eu/gesetze/NW_29475/3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