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29 NW_29475 (Nordrhein-Westfalen) — Betriebsmittel</w:t>
      </w:r>
    </w:p>
    <w:p>
      <w:r>
        <w:rPr>
          <w:color w:val="555555"/>
          <w:sz w:val="18"/>
        </w:rPr>
        <w:t xml:space="preserve">Satzung der Unfallkasse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1Zur Deckung des laufenden Bedarfs sowie zum Ausgleich von Einnahme- und Ausgabeschwankungen ist ein Betriebsmittelbestand gemäß §§ 81 SGB IV, 172 SGB VII bereitzuhalten; das 2,2fache des Monatsbedarfs soll nicht unterschritten werden. 2Das Nähere beschließt die Vertreterversammlung.</w:t>
      </w:r>
    </w:p>
    <w:p>
      <w:r>
        <w:rPr>
          <w:color w:val="555555"/>
          <w:sz w:val="17"/>
        </w:rPr>
        <w:t xml:space="preserve">Zitiervorschlag: § 29 NW_29475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https://recht.nulegal.eu/gesetze/NW_29475/29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