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 NW_29475 (Nordrhein-Westfalen) — Verwaltungsvermögen</w:t>
      </w:r>
    </w:p>
    <w:p>
      <w:r>
        <w:rPr>
          <w:color w:val="555555"/>
          <w:sz w:val="18"/>
        </w:rPr>
        <w:t xml:space="preserve">Satzung der Unfallkasse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Unfallkasse verfügt über ein Verwaltungsvermögen gemäß § 82a SGB IV, § 172b SGB VII. Das Nähere beschließt die Vertreterversammlung.</w:t>
      </w:r>
    </w:p>
    <w:p>
      <w:r>
        <w:t xml:space="preserve">(2) Die Vertreterversammlung kann auf Vorschlag des Vorstands die Zuführungen zum Verwaltungsvermögen und die Entnahmen aus dem Verwaltungsvermögen beschließen.</w:t>
      </w:r>
    </w:p>
    <w:p>
      <w:r>
        <w:rPr>
          <w:color w:val="555555"/>
          <w:sz w:val="17"/>
        </w:rPr>
        <w:t xml:space="preserve">Zitiervorschlag: § 28 NW_29475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https://recht.nulegal.eu/gesetze/NW_29475/28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