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NW_29475 (Nordrhein-Westfalen) — Aufgaben der Vertreterversammlung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Vertreterversammlung hat insbesondere folgende Aufgaben:</w:t>
      </w:r>
    </w:p>
    <w:p>
      <w:r>
        <w:t xml:space="preserve">1. Wahl und Abberufung der oder des Vorsitzenden und der oder des stellvertretenden Vorsitzenden (§ 62 Abs. 1 und 5 SGB IV),</w:t>
      </w:r>
    </w:p>
    <w:p>
      <w:r>
        <w:t xml:space="preserve">2. Wahl der Mitglieder des Vorstandes und ihrer Stellvertretungen, soweit sie nicht gemäß § 44 Abs. 2 Satz 2 Nr. 1 SGB IV von der Landesregierung Nordrhein-Westfalen bestimmt werden (§ 52 SGB IV),</w:t>
      </w:r>
    </w:p>
    <w:p>
      <w:r>
        <w:t xml:space="preserve">3. Wahl der Geschäftsführerin oder des Geschäftsführers und der stellvertretenden Geschäftsführerin oder des stellvertretenden Geschäftsführers auf Vorschlag des Vorstandes,</w:t>
      </w:r>
    </w:p>
    <w:p>
      <w:r>
        <w:t xml:space="preserve">4. Entscheidung über Amtsentbindungen und -enthebungen in den Fällen des § 59 Abs. 4 Satz 2 SGB IV und § 36 Abs. 2 Satz 1 Halbsatz 2 SGB IV,</w:t>
      </w:r>
    </w:p>
    <w:p>
      <w:r>
        <w:t xml:space="preserve">5. Beschlussfassung über die Satzung und deren Änderung (§ 33 Abs. 1 SGB IV),</w:t>
      </w:r>
    </w:p>
    <w:p>
      <w:r>
        <w:t xml:space="preserve">6. Beschlussfassung über ihre Geschäftsordnung und die Geschäftsordnung ihrer Ausschüsse (§ 63 Abs. 1 SGB IV),</w:t>
      </w:r>
    </w:p>
    <w:p>
      <w:r>
        <w:t xml:space="preserve">7. Beschlussfassung über die Unfallverhütungsvorschriften (§ 15 Abs. 1 SGB VII),</w:t>
      </w:r>
    </w:p>
    <w:p>
      <w:r>
        <w:t xml:space="preserve">8. Beschlussfassung über die Prüfungsordnung für den Befähigungsnachweis von Aufsichtspersonen (§ 18 Abs. 2 Satz 2 SGB VII),</w:t>
      </w:r>
    </w:p>
    <w:p>
      <w:r>
        <w:t xml:space="preserve">9. Feststellung des Haushaltsplans (§ 70 Abs. 1 Satz 2 SGB IV) und Beschlussfassung über Verwaltungsvermögen (§ 28) und Betriebsmittel (§ 29),</w:t>
      </w:r>
    </w:p>
    <w:p>
      <w:r>
        <w:t xml:space="preserve">10. Beschlussfassung auf Vorschlag des Vorstandes über die Vorhaltung und Finanzierung einer Rücklage und über deren Zuweisungen und Entnahmen (§ 30) sowie über die Auflösung der Pensionsrückstellungen (§ 31),</w:t>
      </w:r>
    </w:p>
    <w:p>
      <w:r>
        <w:t xml:space="preserve">11. Entlastung des Vorstandes und der Geschäftsführerin oder des Geschäftsführers wegen der Jahresrechnung (§ 77 Abs. 1 Satz 2 SGB IV),</w:t>
      </w:r>
    </w:p>
    <w:p>
      <w:r>
        <w:t xml:space="preserve">12. Festlegung der Anzahl der Mitglieder der Widerspruchs- und Rentenausschüsse (§§ 22, 23), Bestellung der Mitglieder der Widerspruchsausschüsse (§ 23) und der Mitglieder der Vertreterversammlung in den Ausschüssen nach §§ 18, 19,</w:t>
      </w:r>
    </w:p>
    <w:p>
      <w:r>
        <w:t xml:space="preserve">13. Bestimmung der Stelle, die im Einspruchsverfahren gegen Bußgeldbescheide die Befugnisse der Verwaltungsbehörden nach § 69 Abs. 1 OWiG wahrnimmt (§ 112 Abs. 2 SGB IV),</w:t>
      </w:r>
    </w:p>
    <w:p>
      <w:r>
        <w:t xml:space="preserve">14. Beschlussfassung auf Vorschlag des Vorstandes über die Entschädigung der ehrenamtlichen Mitglieder der Selbstverwaltungsorgane und Ausschüsse (§ 41 Abs. 4 SGB IV),</w:t>
      </w:r>
    </w:p>
    <w:p>
      <w:r>
        <w:t xml:space="preserve">15. Bestimmung der rechtlichen Grundlagen für die Beschäftigung der Bediensteten der Unfallkasse (Dienstrecht) auf Vorschlag des Vorstandes und Beschlussfassung über die Dienstordnung,</w:t>
      </w:r>
    </w:p>
    <w:p>
      <w:r>
        <w:t xml:space="preserve">16. Beschlussfassung über Einrichtungen nach § 140 Abs. 2 SGB VII,</w:t>
      </w:r>
    </w:p>
    <w:p>
      <w:r>
        <w:t xml:space="preserve">17. Vertretung der Unfallkasse gegenüber dem Vorstand und dessen Mitgliedern (§ 33 Abs. 2 Satz 1 SGB IV, § 17),</w:t>
      </w:r>
    </w:p>
    <w:p>
      <w:r>
        <w:t xml:space="preserve">18. (nicht besetzt),</w:t>
      </w:r>
    </w:p>
    <w:p>
      <w:r>
        <w:t xml:space="preserve">19. Beschlussfassung über Erwerb, Veräußerung und Belastung von Grundstücken,</w:t>
      </w:r>
    </w:p>
    <w:p>
      <w:r>
        <w:t xml:space="preserve">20. Beschlussfassung über die Beteiligung an Einrichtungen zur medizinischen Rehabilitation oder Teilhabe am Arbeitsleben,</w:t>
      </w:r>
    </w:p>
    <w:p>
      <w:r>
        <w:t xml:space="preserve">21. Beschlussfassungen, die Fragen einer Verlegung des Sitzes oder des Standortes der Zentralverwaltung, der Regionaldirektionen oder der unselbständigen Verwaltungseinheiten unterhalb der Regionaldirektionen betreffen,</w:t>
      </w:r>
    </w:p>
    <w:p>
      <w:r>
        <w:t xml:space="preserve">22. Beschlussfassung über den Gleichstellungsplan,</w:t>
      </w:r>
    </w:p>
    <w:p>
      <w:r>
        <w:t xml:space="preserve">23. Beschlussfassung über Anträge der Mitglieder der Vertreterversammlung,</w:t>
      </w:r>
    </w:p>
    <w:p>
      <w:r>
        <w:t xml:space="preserve">24. Beschlussfassung über sonstige Angelegenheiten, die der Vertreterversammlung durch Gesetz oder sonstiges für die Unfallkasse maßgebendes Recht zugewiesen sind oder vom Vorstand oder von der Aufsichtsbehörde vorgelegt werden.</w:t>
      </w:r>
    </w:p>
    <w:p>
      <w:r>
        <w:rPr>
          <w:color w:val="555555"/>
          <w:sz w:val="17"/>
        </w:rPr>
        <w:t xml:space="preserve">Zitiervorschlag: § 13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