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NW_29451 (Nordrhein-Westfalen) — Transparenz und Qualitätssicherung</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Landesausschuss nach § 15 (Landesausschuss) schlägt bei Bedarf unter Beachtung der bundesrechtlichen Bestimmungen auch über diese hinaus Qualitätsmerkmale und -indikatoren vor, über die ein Krankenhaus die Öffentlichkeit so zu unterrichten hat, dass Patientinnen und Patienten eine Abschätzung des krankenhausspezifischen Qualitätsniveaus möglich wird. Der Landesausschuss unterbreitet Vorschläge über Verfahren und Form derartiger Veröffentlichungen. Diese Vorschläge können durch dreiseitige Vereinbarungen der Krankenhausgesellschaft Nordrhein-Westfalen, der Krankenkassen und der Ärztekammern umgesetzt werden.</w:t>
      </w:r>
    </w:p>
    <w:p>
      <w:r>
        <w:t xml:space="preserve">(2) Der Krankenhausträger stellt folgende Informationen bereit:</w:t>
      </w:r>
    </w:p>
    <w:p>
      <w:r>
        <w:t xml:space="preserve">1. die nach Absatz 1 erforderlichen Informationen,</w:t>
      </w:r>
    </w:p>
    <w:p>
      <w:r>
        <w:t xml:space="preserve">2. einschlägige Informationen, die den jeweiligen Patientinnen und Patienten helfen, eine sachkundige Entscheidung zu treffen, auch in Bezug auf Behandlungsoptionen, Verfügbarkeit, Qualität und Sicherheit der erbrachten Gesundheitsversorgung, und</w:t>
      </w:r>
    </w:p>
    <w:p>
      <w:r>
        <w:t xml:space="preserve">3. eindeutige Rechnungen und klare Preisinformationen sowie Informationen über seinen Zulassungs- oder Registrierungsstatus, seinen Versicherungsschutz oder andere Formen des persönlichen oder kollektiven Schutzes in Bezug auf die Berufshaftpflicht.</w:t>
      </w:r>
    </w:p>
    <w:p>
      <w:r>
        <w:rPr>
          <w:color w:val="555555"/>
          <w:sz w:val="17"/>
        </w:rPr>
        <w:t xml:space="preserve">Zitiervorschlag: § 7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