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NW_29451 (Nordrhein-Westfalen) — Übergangsvorschrift</w:t>
      </w:r>
    </w:p>
    <w:p>
      <w:r>
        <w:rPr>
          <w:color w:val="555555"/>
          <w:sz w:val="18"/>
        </w:rPr>
        <w:t xml:space="preserve">KHGG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Abweichend von § 14 Absatz 2 kann zu erstmaligen Verhandlungen über regionale Planungskonzepte auf Grundlage von Rahmenvorgaben, die eine Plansystematik nach Leistungsbereichen und Leistungsgruppen umsetzen, nur die zuständige Behörde auffordern. Die zuständige Behörde erlässt die Aufforderungen nach Satz 1 für alle Leistungsbereiche und Leistungsgruppen in sämtlichen Planungsregionen spätestens sechs Monate nach Aufstellung der Rahmenvorgaben.</w:t>
      </w:r>
    </w:p>
    <w:p>
      <w:r>
        <w:t xml:space="preserve">(2) Für alle vor dem Zeitpunkt der Aufforderungen nach Absatz 1 Satz 1 eingeleiteten regionalen Planungsverfahren finden die § 10 Absatz 1, § 12 Absatz 3, § 14 Absatz 1 und 3, § 16 Absatz 1 und 2 und § 24 in ihrer bis zum 18. März 2021 geltenden Fassung sowie die auf dieser Basis zuletzt aufgestellten Rahmenvorgaben weiterhin Anwendung. Nach dem in Satz 1 genannten Zeitpunkt sind die zuvor eingeleiteten Planungsverfahren nicht weiter fortzuführen.</w:t>
      </w:r>
    </w:p>
    <w:p>
      <w:r>
        <w:t xml:space="preserve">(3) Bis zum Inkrafttreten der Rechtsverordnung gemäß § 18 Abs. 2 Nr. 2 sind für die Bestimmung der durchschnittlichen Nutzungsdauer bei Anlagegütern die Regelungen der Abgrenzungsverordnung vom 5. Dezember 1977 (BGBl. I S. 2355) sinngemäß anzuwenden.</w:t>
      </w:r>
    </w:p>
    <w:p>
      <w:r>
        <w:t xml:space="preserve">(4) Soweit Investitionskosten von Krankenhäusern auf Grundlage der §§ 19 ff. des Krankenhausgesetzes Nordrhein-Westfalen vom 16. Dezember 1998 (GV. NRW. S. 696), zuletzt geändert durch Artikel 2 des Gesetzes vom 21. Dezember 2006 (GV. NRW. S. 631), gefördert worden sind, finden diese Vorschriften weiterhin Anwendung.</w:t>
      </w:r>
    </w:p>
    <w:p>
      <w:r>
        <w:t xml:space="preserve">(5) Abweichend von Absatz 4 gilt dieses Gesetz für eingesparte Fördermittel aus Festbetragsförderungen gemäß § 24 Absatz 2 des Krankenhausgesetzes Nordrhein-Westfalen, soweit sie dem Konto der Baupauschale als gesonderte Position zugeführt werden.</w:t>
      </w:r>
    </w:p>
    <w:p>
      <w:r>
        <w:rPr>
          <w:color w:val="555555"/>
          <w:sz w:val="17"/>
        </w:rPr>
        <w:t xml:space="preserve">Zitiervorschlag: § 37 NW_29451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https://recht.nulegal.eu/gesetze/NW_29451/37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