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34c NW_29451 (Nordrhein-Westfalen) — Sicherung von Patientenunterlagen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Krankenhausträger hat Maßnahmen zu treffen, dass im Falle der Schließung eines Krankenhauses aufgrund einer drohenden Zahlungsunfähigkeit die dort geführten Patientenunterlagen entsprechend ihrer individuellen Aufbewahrungsdauer unter Beachtung der datenschutzrechtlichen Vorgaben, insbesondere zur Gewährleistung von Vertraulichkeit, Integrität und Verfügbarkeit aufbewahrt werden können, und dass Ansprüche der Patientinnen und Patienten auf jederzeitige Durchsetzung ihrer Rechte nach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ABl. L 127 vom 23.5.2018, S. 2) sowie ihrer Rechte nach dem Bürgerlichen Gesetzbuch nicht beeinträchtigt werden. Maßnahmen im Sinne des Satzes 1 sind insbesondere Sicherungsmaßnahmen, die einen Zugang zu, einen Zugriff auf und die Kenntnisnahme von Patientenunterlagen durch unbefugte Personen verhindern sowie die in regelmäßigen Abständen durchgeführte Prüfung, ob Patientenunterlagen vernichtet werden können. Der Krankenhausträger weist die getroffenen Sicherungsmaßnahmen entsprechend der individuellen Aufbewahrungsdauer ab dem 18. März 2021 und sodann alle zwei Jahre gegenüber der zuständigen oberen Aufsichtsbehörde gemäß § 11 Absatz 4 nach. Es ist sicherzustellen, dass die Maßnahmen auch im Falle der Schließung eines Krankenhauses während der individuellen Aufbewahrungsdauer aufrechterhalten werden können.</w:t>
      </w:r>
    </w:p>
    <w:p>
      <w:r>
        <w:t xml:space="preserve">(2) Es werden zwei Patientenaktensicherungsfonds errichtet. Ein Fonds soll die Sicherung der Patientenakten im Sinne des Absatzes 1 für die nach § 108 des Fünften Buches Sozialgesetzbuch zugelassenen Krankenhäuser gewährleisten. Ein weiterer Fonds soll die Sicherung der Patientenakten im Sinne des Absatzes 1 für die Privatkrankenanstalten nach § 30 der Gewerbeordnung, sowie die Vorsorge- und Rehabilitationseinrichtungen nach § 107 Absatz 2 des Fünften Buches Sozialgesetzbuch gewährleisten. Der Beitritt zu den in Satz 1 genannten Patientenaktensicherungsfonds ist für die in den Sätzen 2 und 3 genannten Einrichtungen freiwillig.</w:t>
      </w:r>
    </w:p>
    <w:p>
      <w:r>
        <w:t xml:space="preserve">(3) Der Fonds nach Absatz 2 Satz 2 wird von der Krankenhausgesellschaft Nordrhein-Westfalen e. V. errichtet und verwaltet. Der Fonds nach Absatz 2 Satz 3 wird von dem Verband der Privatkliniken Nordrhein-Westfalen e. V. errichtet und verwaltet. Die erforderlichen Kosten zur Errichtung und Verwaltung der Patientenaktensicherungsfonds im Sinne des Absatzes 2 Satz 1 werden aus den Mitteln der Patientenaktensicherungsfonds entrichtet.</w:t>
      </w:r>
    </w:p>
    <w:p>
      <w:r>
        <w:t xml:space="preserve">(4) Zur Absicherung im Sinne des Absatzes 2 Satz 1 zahlen die in Absatz 2 Satz 2 und 3 genannten Einrichtungen eine Grundeinlage sowie etwaige, erforderlich werdende Nachschüsse in den jeweiligen Fonds. Nach Auflösung der Einrichtung oder bei Austritt aus dem Patientenaktensicherungsfonds können die bereits entrichteten Beiträge nicht zurückgefordert werden.</w:t>
      </w:r>
    </w:p>
    <w:p>
      <w:r>
        <w:t xml:space="preserve">(5) Die zuständigen Behörden veranlassen im Bedarfsfall die Sicherung und Archivierung der Patientenakten im Sinne des Absatzes 2 Satz 1 und rufen die hierfür benötigten Mittel gegenüber dem jeweils zuständigen Fonds ab. Die zuständigen Behörden sind darüber hinaus zur Durchsetzung der Pflichten nach Absatz 4 Satz 1 zuständig.</w:t>
      </w:r>
    </w:p>
    <w:p>
      <w:r>
        <w:t xml:space="preserve">(6) Das für das Gesundheitswesen zuständige Ministerium wird ermächtigt, die nähere Ausgestaltung der Patientenaktensicherungsfonds, insbesondere Höhe und Fälligkeit der Grundeinlagen sowie etwaiger erforderlicher Nachschüsse, die Abrufung von Mitteln, die Bestimmung der Behörden und die Erstattung der Aufwendungen für die Errichtung und Verwaltung der Patientenaktensicherungsfonds nach Abstimmung mit den Verwaltern der Patientenaktensicherungsfonds durch Rechtsverordnung zu regeln.</w:t>
      </w:r>
    </w:p>
    <w:p>
      <w:r>
        <w:t xml:space="preserve">Abschnitt V</w:t>
      </w:r>
    </w:p>
    <w:p>
      <w:r>
        <w:t xml:space="preserve">Übergangs- und Schlussbestimmungen</w:t>
      </w:r>
    </w:p>
    <w:p>
      <w:r>
        <w:rPr>
          <w:color w:val="555555"/>
          <w:sz w:val="17"/>
        </w:rPr>
        <w:t xml:space="preserve">Zitiervorschlag: § 34c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https://recht.nulegal.eu/gesetze/NW_29451/34c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