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NW_29451 (Nordrhein-Westfalen) — Ausgleich für Eigenmittel</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in einem Krankenhaus bei Beginn der erstmaligen Förderung nach dem Krankenhausfinanzierungsgesetz oder diesem Gesetz förderungsfähige Investitionen genutzt, die nachweislich mit Eigenmitteln des Krankenhausträgers beschafft wurden und deren regelmäßige Nutzungsdauer zu diesem Zeitpunkt noch nicht abgelaufen ist, so wird dem Krankenhausträger nach Feststellung des Ausscheidens des Krankenhauses aus dem Krankenhausplan ein dem Anteil der Eigenmittel entsprechender Ausgleich für die Abnutzung während der Zeit der Förderung gewährt, sofern der Krankenhausbetrieb eingestellt ist und das Krankenhaus nicht weiterhin für Krankenhauszwecke genutzt wird. Eigenmittel im Sinne des Satzes 1 sind nur Mittel aus dem frei verfügbaren Vermögen des Krankenhausträgers.</w:t>
      </w:r>
    </w:p>
    <w:p>
      <w:r>
        <w:t xml:space="preserve">(2) Der Berechnung des Ausgleichsbetrages sind die Buchwerte bei Beginn der Förderung und die hierauf beruhenden Abschreibungen zugrunde zu legen.</w:t>
      </w:r>
    </w:p>
    <w:p>
      <w:r>
        <w:t xml:space="preserve">(3) Ein Ausgleichsanspruch entfällt, soweit nach dem Krankenhausfinanzierungsgesetz oder nach diesem Gesetz eine Ersatzinvestition gefördert wurde und die Mittel oder ihr Gegenwert noch im Vermögen des Krankenhausträgers vorhanden sind.</w:t>
      </w:r>
    </w:p>
    <w:p>
      <w:r>
        <w:rPr>
          <w:color w:val="555555"/>
          <w:sz w:val="17"/>
        </w:rPr>
        <w:t xml:space="preserve">Zitiervorschlag: § 26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