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NW_29451 (Nordrhein-Westfalen) — Förderung von Lasten aus Investitionsdarlehen</w:t>
      </w:r>
    </w:p>
    <w:p>
      <w:r>
        <w:rPr>
          <w:color w:val="555555"/>
          <w:sz w:val="18"/>
        </w:rPr>
        <w:t xml:space="preserve">KHGG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Sind für förderungsfähige Investitionskosten von Krankenhäusern nach § 18 Abs. 1 vor Aufnahme in den Krankenhausplan Darlehen auf dem Kapitalmarkt aufgenommen worden, so werden vom Zeitpunkt der Aufnahme in den Krankenhausplan in Höhe der sich hieraus ergebenden Belastungen Fördermittel bewilligt. Satz 1 gilt entsprechend für Darlehen der Gemeinden, soweit sie nicht in Zuschüsse umgewandelt wurden. Landesdarlehen für förderungsfähige Investitionen werden in bedingt rückzahlbare Zuschüsse umgewandelt.</w:t>
      </w:r>
    </w:p>
    <w:p>
      <w:r>
        <w:t xml:space="preserve">(2) Sind während der Förderzeit die Abschreibungen für förderungsfähige Investitionen höher als die geförderten Tilgungsbeträge, so sind bei Ausscheiden aus dem Krankenhausplan Fördermittel in Höhe des Unterschiedsbetrages zu bewilligen. Sind während der Förderzeit die geförderten Tilgungsbeträge höher als die Abschreibungen für förderungsfähige Investitionen, so ist bei Ausscheiden aus dem Krankenhausplan der Unterschiedsbetrag zu erstatten.</w:t>
      </w:r>
    </w:p>
    <w:p>
      <w:r>
        <w:rPr>
          <w:color w:val="555555"/>
          <w:sz w:val="17"/>
        </w:rPr>
        <w:t xml:space="preserve">Zitiervorschlag: § 25 NW_29451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https://recht.nulegal.eu/gesetze/NW_29451/25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