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NW_29451 (Nordrhein-Westfalen) — Abtretung von Förderansprüchen und -anwartschaften</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Krankenhäuser dürfen ihren Anspruch auf Mittel der Baupauschale gemäß § 18 Abs. 1 Nr. 1 und entsprechende Anwartschaften an andere förderungsberechtigte Krankenhäuser in Nordrhein-Westfalen zur Finanzierung von Investitionen nach § 9 Abs. 1 Nr. 1 KHG mit Zustimmung der zuständigen Behörde abtreten. Die beabsichtigte Abtretung ist der zuständigen Behörde durch das abtretende Krankenhaus anzuzeigen. Die Zustimmung gilt als erteilt, wenn die zuständige Behörde nicht innerhalb von zwei Monaten nach Eingang der Abtretungsanzeige schriftlich widerspricht. Eine Ablehnung darf nur erfolgen, wenn als Folge der Abtretung die bedarfsgerechte Versorgung der Bevölkerung mit leistungsfähigen Krankenhäusern insbesondere dadurch gefährdet wäre, dass keine ausreichende Vorsorge für absehbar notwendige Investitionen getroffen ist oder Vorgaben des Krankenhausplans nicht eingehalten würden.</w:t>
      </w:r>
    </w:p>
    <w:p>
      <w:r>
        <w:t xml:space="preserve">(2) Darüber hinaus ist eine Abtretung nach Absatz 1 nicht mehr zulässig, wenn der Feststellungsbescheid nach § 16 Absatz 1 aufgehoben wurde oder die Voraussetzungen für eine Herausnahme aus dem Krankenhausplan nach § 16 Absatz 2 vorliegen. Stellt die zuständige Behörde einen Verstoß gegen diese Abtretungsverbote fest, darf sie ebenfalls die Abtretung ablehnen.</w:t>
      </w:r>
    </w:p>
    <w:p>
      <w:r>
        <w:t xml:space="preserve">(3) Krankenhäuser dürfen darüber hinaus ihren Anspruch auf Mittel der Pauschale kurzfristiger Anlagegüter gemäß § 18 Absatz 1 Nummer 2 und entsprechende Anwartschaften an andere förderberechtigte Krankenhäuser in Nordrhein-Westfalen zur Finanzierung von Investitionen nach § 9 Absatz 1 Nummer 2 des Krankenhausfinanzierungsgesetzes mit Zustimmung der zuständigen Behörde vollständig abtreten, wenn durch einen unternehmerischen Beschluss feststeht, dass das Krankenhaus seinen Betrieb einstellt.</w:t>
      </w:r>
    </w:p>
    <w:p>
      <w:r>
        <w:t xml:space="preserve">(4) Ansprüche und Anwartschaften auf Förderung erlöschen mit Bestandskraft eines Bescheides, der eine Feststellung nach § 16 aufhebt.</w:t>
      </w:r>
    </w:p>
    <w:p>
      <w:r>
        <w:rPr>
          <w:color w:val="555555"/>
          <w:sz w:val="17"/>
        </w:rPr>
        <w:t xml:space="preserve">Zitiervorschlag: § 20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