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NW_29451 (Nordrhein-Westfalen) — Rahmenvorgaben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Rahmenvorgaben enthalten die Planungsgrundsätze und Vorgaben für die notwendigen aufeinander abzustimmenden Versorgungsangebote nach ihrer regionalen Verteilung, Art, Zahl und Qualität. Sie berücksichtigen insbesondere die Vorgaben nach § 12 Absatz 5 und sind Grundlage für die Festlegungen nach § 16. Das zuständige Ministerium wird ermächtigt, bei medizinischen Leistungen von hoher Komplexität Mindestfallzahlen in den Rahmenvorgaben nach § 12 Absatz 2 Satz 2 Nummer 1 und § 13 auf der Grundlage der evidenzbasierten Medizin festzulegen. Eine Festlegung soll Ausnahmetatbestände und Übergangsregelungen vorsehen, um unbillige Härten insbesondere bei nachgewiesener, hoher Qualität unterhalb der festgelegten Mindestfallzahl zu vermeiden.</w:t>
      </w:r>
    </w:p>
    <w:p>
      <w:r>
        <w:t xml:space="preserve">(2) Die Empfehlungen des Gemeinsamen Bundesausschusses zu den planungsrelevanten Qualitätsindikatoren gemäß § 136c Absatz 1 des Fünften Buches Sozialgesetzbuch werden erst nach Maßgabe des Abschnitts II Bestandteil des Krankenhausplans.</w:t>
      </w:r>
    </w:p>
    <w:p>
      <w:r>
        <w:t xml:space="preserve">(3) Bei der Neuaufstellung und Fortschreibung der Rahmenvorgaben ist der zuständige Landtagsausschuss zu hören.</w:t>
      </w:r>
    </w:p>
    <w:p>
      <w:r>
        <w:rPr>
          <w:color w:val="555555"/>
          <w:sz w:val="17"/>
        </w:rPr>
        <w:t xml:space="preserve">Zitiervorschlag: § 13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