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NW_29451 (Nordrhein-Westfalen) — Krankenhausplan</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das Gesundheitswesen zuständige Ministerium stellt einen Krankenhausplan gemäß § 6 des Krankenhausfinanzierungsgesetzes auf, überprüft ihn regelmäßig und schreibt ihn fort. Der jeweils aktuelle Krankenhausplan wird auf der Homepage des Ministeriums veröffentlicht. Der Krankenhausplan wird auch in maschinenlesbarer Form veröffentlicht.</w:t>
      </w:r>
    </w:p>
    <w:p>
      <w:r>
        <w:t xml:space="preserve">(2) Der Krankenhausplan weist den Stand und die vorgesehene Entwicklung der für eine ortsnahe, bedarfsgerechte, leistungsfähige, qualitativ hochwertige und wirtschaftliche Versorgung der Bevölkerung erforderlichen Krankenhäuser und Ausbildungsstätten gemäß § 2 Nr. 1a des Krankenhausfinanzierungsgesetzes aus. Er berücksichtigt die Versorgungsangebote benachbarter Länder, die Vielfalt der Krankenhausträger nach § 1 Abs. 2 Satz 1 des Krankenhausfinanzierungsgesetzes und besteht aus</w:t>
      </w:r>
    </w:p>
    <w:p>
      <w:r>
        <w:t xml:space="preserve">1. den Rahmenvorgaben und</w:t>
      </w:r>
    </w:p>
    <w:p>
      <w:r>
        <w:t xml:space="preserve">2. den regionalen Planungskonzepten.</w:t>
      </w:r>
    </w:p>
    <w:p>
      <w:r>
        <w:t xml:space="preserve">Die Fortschreibung des Krankenhausplans erfolgt durch Änderung der Rahmenvorgaben und der regionalen Planungskonzepte. Die Änderungen nach Satz 2 Nr. 2 sind durch Bescheid nach § 16 festzustellen.</w:t>
      </w:r>
    </w:p>
    <w:p>
      <w:r>
        <w:t xml:space="preserve">(3) Die Aufstellung und Fortschreibung des Krankenhausplans erfolgt auf der Grundlage von Leistungsbereichen und Leistungsgruppen. Jedem Leistungsbereich werden eine oder mehrere Leistungsgruppen zugeordnet. Die Leistungsbereiche orientieren sich an den Weiterbildungsordnungen für Ärztinnen und Ärzte der Ärztekammern Nordrhein und Westfalen-Lippe. Leistungsgruppen bilden konkrete medizinische Leistungen ab. Die Leistungsgruppen der „Allgemeinen Inneren Medizin“, der „Allgemeinen Chirurgie“ und der anderen allgemeinen Leistungsgruppen richten sich nach den Weiterbildungsordnungen für Ärztinnen und Ärzte der Ärztekammern. Spezifische Leistungsgruppen richten sich nach den Operationen- und Prozedurenschlüsseln nach § 301 des Fünften Buches Sozialgesetzbuch, der International Statistical Classification of Diseases and Related Health Problems der Weltgesundheitsorganisation oder anderen geeigneten Merkmalen. Grundsätzlich wird eine Leistungsgruppe nur einem Leistungsbereich zugeordnet. Einzelne Leistungsgruppen können mehreren Leistungsbereichen zugeordnet werden. Einzelne Leistungen können mehreren Leistungsgruppen beziehungsweise Leistungsbereichen zugeordnet werden. Den Leistungsgruppen werden qualitative Anforderungen zugeordnet. Die Versorgungskapazitäten werden durch quantitative oder qualitative Parameter bestimmt. Dies können auch Planbettenzahlen oder Behandlungsplatzzahlen sein. Die weitere Systematik der Leistungsbereiche und Leistungsgruppen wird in den Rahmenvorgaben nach den § 12 Absatz 2 Satz 2 Nummer 1 und § 13 geregelt.</w:t>
      </w:r>
    </w:p>
    <w:p>
      <w:r>
        <w:t xml:space="preserve">(4) Die Universitätskliniken sowie die in § 3 Nummer 4 des Krankenhausfinanzierungsgesetzes genannten Krankenhäuser sind in die Krankenhausplanung einzubeziehen, soweit sie der allgemeinen Versorgung der Bevölkerung dienen. Die Festlegungen nach § 14 werden, soweit sie durch Bescheid nach § 16 festgestellt sind, Bestandteil des Krankenhausplans. Die Aufgaben aus Forschung und Lehre sind zu berücksichtigen.</w:t>
      </w:r>
    </w:p>
    <w:p>
      <w:r>
        <w:t xml:space="preserve">(5) Bei der Aufstellung des Krankenhausplans und seinen Einzelfestlegungen haben Krankenhäuser Vorrang, die eine zeitlich und inhaltlich umfassende Vorhaltung von Leistungen der Notfallversorgung sicherstellen. Zudem soll die - auch kommunale Gebietsgrenzen überschreitende - Zusammenarbeit der Krankenhäuser mit dem Ziel der Bildung und Sicherung von Behandlungsschwerpunkten im Einzugsbereich zu einer bevorzugten Berücksichtigung führen. Dies gilt auch für die Kooperation der Krankenhäuser mit der niedergelassenen Ärzteschaft, mit niedergelassenen approbierten Leistungserbringern im Bereich der Psychotherapie, mit den Rehabilitations- und Pflegeeinrichtungen sowie den übrigen an der Patientenversorgung beteiligten ambulanten und stationären Einrichtungen.</w:t>
      </w:r>
    </w:p>
    <w:p>
      <w:r>
        <w:rPr>
          <w:color w:val="555555"/>
          <w:sz w:val="17"/>
        </w:rPr>
        <w:t xml:space="preserve">Zitiervorschlag: § 12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