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NW_29451 (Nordrhein-Westfalen) — Rechtsaufsicht</w:t>
      </w:r>
    </w:p>
    <w:p>
      <w:r>
        <w:rPr>
          <w:color w:val="555555"/>
          <w:sz w:val="18"/>
        </w:rPr>
        <w:t xml:space="preserve">KHGG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Krankenhäuser und ihre gemeinschaftlichen Einrichtungen sowie die mit den Krankenhäusern notwendigerweise verbundenen Ausbildungsstätten gemäß § 2 Nummer 1a des Krankenhausfinanzierungsgesetzes in der Fassung der Bekanntmachung vom 10. April 1991 (BGBl. I S. 886), das zuletzt durch Artikel 2 des Gesetzes vom 5. Dezember 2024 (BGBl. 2024 I Nr. 400) geändert worden ist, unterliegen der Rechtsaufsicht.</w:t>
      </w:r>
    </w:p>
    <w:p>
      <w:r>
        <w:t xml:space="preserve">(2) Die Aufsicht erstreckt sich auf die Beachtung der für die in Absatz 1 genannten Einrichtungen geltenden gesundheitsrechtlichen Vorschriften. Zu den gesundheitsrechtlichen Vorschriften im Sinne von Satz 1 zählen insbesondere:</w:t>
      </w:r>
    </w:p>
    <w:p>
      <w:r>
        <w:t xml:space="preserve">1. der Vorrang für Notfallpatientinnen und -patienten gemäß § 2 Absatz 1 Satz 2 und 3,</w:t>
      </w:r>
    </w:p>
    <w:p>
      <w:r>
        <w:t xml:space="preserve">2. das Entlassmanagement gemäß § 39 Absatz 1a des Fünften Buches Sozialgesetzbuch in Verbindung mit § 8 Absatz 1 dieses Gesetzes,</w:t>
      </w:r>
    </w:p>
    <w:p>
      <w:r>
        <w:t xml:space="preserve">3. Aufklärungs- und Informationspflichten gemäß den §§ 630 c bis 630 g des Bürgerlichen Gesetzbuches,</w:t>
      </w:r>
    </w:p>
    <w:p>
      <w:r>
        <w:t xml:space="preserve">4. Patientensicherheit gemäß § 2 Absatz 1 Satz 1 in Verbindung mit § 3 Absatz 1 und 2,</w:t>
      </w:r>
    </w:p>
    <w:p>
      <w:r>
        <w:t xml:space="preserve">5. die Einhaltung der Vorgaben gemäß § 5,</w:t>
      </w:r>
    </w:p>
    <w:p>
      <w:r>
        <w:t xml:space="preserve">6. die Sicherstellung der Krankenhaushygiene gemäß § 6,</w:t>
      </w:r>
    </w:p>
    <w:p>
      <w:r>
        <w:t xml:space="preserve">7. die Sicherstellung der Transparenzvorgaben gemäß § 7,</w:t>
      </w:r>
    </w:p>
    <w:p>
      <w:r>
        <w:t xml:space="preserve">8. die Bestellung von Transplantationsbeauftragten gemäß § 9 und die Einhaltung der Vorgaben des Transplantationsgesetzes in der Fassung der Bekanntmachung vom 4. September 2007 (BGBl. I S. 2206) in der jeweils geltenden Fassung,</w:t>
      </w:r>
    </w:p>
    <w:p>
      <w:r>
        <w:t xml:space="preserve">9. die Mitwirkung an der Bewältigung von Großeinsatzlagen gemäß § 10 Absatz 2,</w:t>
      </w:r>
    </w:p>
    <w:p>
      <w:r>
        <w:t xml:space="preserve">10. die Organisation des Krankenhauses gemäß § 31 und</w:t>
      </w:r>
    </w:p>
    <w:p>
      <w:r>
        <w:t xml:space="preserve">11. die Einhaltung der weiteren Vorgaben nach den Abschnitten II bis IV.</w:t>
      </w:r>
    </w:p>
    <w:p>
      <w:r>
        <w:t xml:space="preserve">(3) Die zuständige Aufsichtsbehörde ist bei konkreten Anhaltspunkten für einen Verstoß gegen gesundheitsrechtliche Vorschriften im Sinne von Absatz 2 Satz 1 oder gegen eine auf Grund dieser Vorschriften erlassenen Anordnung befugt, die anlassbezogen erforderlichen Maßnahmen zur Untersuchung zu ergreifen. Maßnahmen in diesem Sinne sind zum Beispiel die Begehung vor Ort, Akteneinsicht und die Einholung von Gutachten. Bei einem Verstoß gegen eine gesundheitsrechtliche Vorschrift ist die zuständige Aufsichtsbehörde befugt, die erforderlichen Maßnahmen zur Abhilfe des Verstoßes zu treffen. Zu den erforderlichen Maßnahmen gehört insbesondere die Erteilung von Auflagen und Rügen. Die Krankenhäuser sind verpflichtet, den von der zuständigen Aufsichtsbehörde beauftragten Personen Grundstücke, Räume, Anlagen und Einrichtungen zugänglich zu machen, auf Verlangen Bücher und sonstige Unterlagen vorzulegen, die Einsicht in diese zu gewähren und die erforderlichen Auskünfte zu erteilen. Bei Gefahr im Verzug sind der Zutritt jederzeit zu gestatten und die notwendigen Prüfungen zu dulden. Die Freiheit der Person (Artikel 2 Absatz 2 Satz 2 des Grundgesetzes), das allgemeine Persönlichkeitsrecht einschließlich des Rechts auf informationelle Selbstbestimmung (Artikel 2 Absatz 1 in Verbindung mit Artikel 1 Absatz 1 des Grundgesetzes), die Unverletzlichkeit der Wohnung (Artikel 13 Absatz 1 des Grundgesetzes) und das Grundrecht auf Eigentum (Artikel 14 Absatz 1 des Grundgesetzes) werden insoweit eingeschränkt. Die Vorschriften über den Infektionsschutz, die Aufsicht über die Gemeinden, Gemeindeverbände, Universitätskliniken sowie Krankenhäuser im Straf- oder Maßregelvollzug bleiben unberührt.</w:t>
      </w:r>
    </w:p>
    <w:p>
      <w:r>
        <w:t xml:space="preserve">(4) Ist im Rahmen der Maßnahmen nach Absatz 3 eine Einsicht in die Patientendokumentation erforderlich, soll vorab die Einwilligung der Patientin oder des Patienten eingeholt werden. Die zuständige Aufsichtsbehörde ist auch ohne Einwilligung der Patientin oder des Patienten zu einer vollständigen Einsichtnahme in die Patientendokumentation befugt, sofern dies zur Abwehr einer Gefahr für Leben, Gesundheit oder Freiheit einer Patientin, eines Patienten oder einer oder eines Dritten unbedingt erforderlich ist und schützenswerte Interessen der Betroffenen im konkreten Einzelfall nicht überwiegen. Personenbezogene Daten, einschließlich solcher besonderer Kategorien, sollen soweit wie möglich unkenntlich gemacht werden. Sofern das Einverständnis der Patientin oder des Patienten in die Patientenakte vorab nicht eingeholt werden kann, ist die Patientin oder der Patient unverzüglich nachträglich über die erfolgte Einsichtnahme zu informieren. Die Bestimmungen zum Schutze der patientenbezogenen Daten bleiben im Übrigen unberührt.</w:t>
      </w:r>
    </w:p>
    <w:p>
      <w:r>
        <w:t xml:space="preserve">(5) Es sind</w:t>
      </w:r>
    </w:p>
    <w:p>
      <w:r>
        <w:t xml:space="preserve">untere Aufsichtsbehörde</w:t>
      </w:r>
    </w:p>
    <w:p>
      <w:r>
        <w:t xml:space="preserve">die kreisfreie Stadt und der Kreis,</w:t>
      </w:r>
    </w:p>
    <w:p>
      <w:r>
        <w:t xml:space="preserve">obere Aufsichtsbehörde</w:t>
      </w:r>
    </w:p>
    <w:p>
      <w:r>
        <w:t xml:space="preserve">die Bezirksregierung,</w:t>
      </w:r>
    </w:p>
    <w:p>
      <w:r>
        <w:t xml:space="preserve">oberste Aufsichtsbehörde</w:t>
      </w:r>
    </w:p>
    <w:p>
      <w:r>
        <w:t xml:space="preserve">das für das Gesundheitswesen zuständige Ministerium.</w:t>
      </w:r>
    </w:p>
    <w:p>
      <w:r>
        <w:t xml:space="preserve">Für die Durchführung der Aufgaben nach Absatz 2 Satz 2 Nummer 11 ist die Bezirksregierung als obere Aufsichtsbehörde zuständig.</w:t>
      </w:r>
    </w:p>
    <w:p>
      <w:r>
        <w:t xml:space="preserve">(6) Die Aufsichtsbehörden können mit der Durchführung der ihnen obliegenden Aufgaben auch fachlich und persönlich geeignete Dritte beauftragen. Die Verantwortung der Aufsichtsbehörden bleibt dadurch unberührt. Bei zeitlich unabweisbaren Angelegenheiten, die eine Gefahr für wichtige Rechtsgüter befürchten lassen, kann die übergeordnet zuständige Behörde eigenständig tätig werden.</w:t>
      </w:r>
    </w:p>
    <w:p>
      <w:r>
        <w:t xml:space="preserve">Abschnitt II</w:t>
      </w:r>
    </w:p>
    <w:p>
      <w:r>
        <w:t xml:space="preserve">Planung</w:t>
      </w:r>
    </w:p>
    <w:p>
      <w:r>
        <w:rPr>
          <w:color w:val="555555"/>
          <w:sz w:val="17"/>
        </w:rPr>
        <w:t xml:space="preserve">Zitiervorschlag: § 11 NW_29451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https://recht.nulegal.eu/gesetze/NW_29451/11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