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NW_29448 (Nordrhein-Westfalen)</w:t>
      </w:r>
    </w:p>
    <w:p>
      <w:r>
        <w:rPr>
          <w:color w:val="555555"/>
          <w:sz w:val="18"/>
        </w:rPr>
        <w:t xml:space="preserve">Verordnung über die Errichtung und Organisation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Oktober 2007</w:t>
      </w:r>
    </w:p>
    <w:p>
      <w:r>
        <w:t xml:space="preserve">(Artikel 1 der Verordnung über die Fusion der Unfallversicherungsträger</w:t>
      </w:r>
    </w:p>
    <w:p>
      <w:r>
        <w:t xml:space="preserve">der öffentlichen Hand in Nordrhein-Westfalen (GV. NRW. S. 437))</w:t>
      </w:r>
    </w:p>
    <w:p>
      <w:r>
        <w:t xml:space="preserve">Aufgrund</w:t>
      </w:r>
    </w:p>
    <w:p>
      <w:r>
        <w:t xml:space="preserve">- von § 116 Abs. 1 und 3, § 128 Abs. 2 und § 185 Abs. 2 Satz 2 des Siebten Buches Sozialgesetzbuch (SGB VII) vom 7. August 1996 (BGBl. I S. 1254), zuletzt geändert durch Artikel 6 des Gesetzes vom 20. April 2007 (BGBl. I S. 554),</w:t>
      </w:r>
    </w:p>
    <w:p>
      <w:r>
        <w:t xml:space="preserve">- § 121 des Beamtenrechtsrahmengesetzes (BRRG) vom 31. März 1999 (BGBl. I S. 654), zuletzt geändert durch Artikel 2 des Gesetzes vom 5. Dezember 2006 (BGBl. I S. 2748),</w:t>
      </w:r>
    </w:p>
    <w:p>
      <w:r>
        <w:t xml:space="preserve">- § 44 Abs. 1 Satz 2 Landespersonalvertretungsgesetz vom 3. Dezember 1974 (GV. NRW. S. 1514), zuletzt geändert durch Artikel 1 des Gesetzes vom 9. Oktober 2007 (GV. NRW. S. 394),</w:t>
      </w:r>
    </w:p>
    <w:p>
      <w:r>
        <w:t xml:space="preserve">wird verordnet:</w:t>
      </w:r>
    </w:p>
    <w:p>
      <w:r>
        <w:rPr>
          <w:color w:val="555555"/>
          <w:sz w:val="17"/>
        </w:rPr>
        <w:t xml:space="preserve">Zitiervorschlag: Volltext NW_29448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