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NW_29448 (Nordrhein-Westfalen) — In-Kraft-Treten, Außer-Kraft-Treten, Berichtspflicht</w:t>
      </w:r>
    </w:p>
    <w:p>
      <w:r>
        <w:rPr>
          <w:color w:val="555555"/>
          <w:sz w:val="18"/>
        </w:rPr>
        <w:t xml:space="preserve">Verordnung über die Errichtung und Organisation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2008 in Kraft. § 2 Abs. 2, § 3, § 4 Abs. 4, § 5, § 6 Abs. 1 und 2, § 7 und § 8 treten am 31. Dezember 2011 außer Kraft. § 6 Abs. 3 tritt mit Ablauf des 30. Juni 2014 außer Kraft.</w:t>
      </w:r>
    </w:p>
    <w:p>
      <w:r>
        <w:t xml:space="preserve">Mit Ablauf des 31. Dezember 2007 treten außer Kraft</w:t>
      </w:r>
    </w:p>
    <w:p>
      <w:r>
        <w:t xml:space="preserve">1. die Verordnung über die Organisation der Unfallversicherungsträger der öffentlichen Hand in Nordrhein-Westfalen vom 4. November 1997 (GV. NRW. S. 382)</w:t>
      </w:r>
    </w:p>
    <w:p>
      <w:r>
        <w:t xml:space="preserve">2. die Verordnung über die Bestimmung der Feuerwehr-Unfallkassen Rheinland und Westfalen-Lippe zu Trägern der Unfallversicherung für die Versicherten des Brandschutzes im erweiterten Katastrophenschutz vom 19. September 1978 (GV. NRW. S. 512).</w:t>
      </w:r>
    </w:p>
    <w:p>
      <w:r>
        <w:t xml:space="preserve">(2) Das zuständige Ministerium berichtet der Landesregierung bis zum 31. Dezember 2014 über die Auswirkungen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rPr>
          <w:color w:val="555555"/>
          <w:sz w:val="17"/>
        </w:rPr>
        <w:t xml:space="preserve">Zitiervorschlag: § 9 NW_29448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