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NW_29448 (Nordrhein-Westfalen) — Finanzierung; Befreiung von Abgaben</w:t>
      </w:r>
    </w:p>
    <w:p>
      <w:r>
        <w:rPr>
          <w:color w:val="555555"/>
          <w:sz w:val="18"/>
        </w:rPr>
        <w:t xml:space="preserve">Verordnung über die Errichtung und Organisation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Mittel für die Ausgaben der Unfallkasse Nordrhein-Westfalen werden durch Beiträge der Unternehmen, für die sie zuständig ist, und sonstige Einnahmen aufgebracht. Die Aufwendungen für Versicherte nach § 128 Abs. 1 Nr. 6 (mit Ausnahme der Beschäftigten in Hilfeleistungsunternehmen des Landes), 7 und 11 des Siebten Buches Sozialgesetzbuch tragen die Gemeinden und Gemeindeverbände, die Aufwendungen für Versicherte nach § 128 Abs. 1 Nr. 9 des Siebten Buches Sozialgesetzbuch das Land. Das Nähere regelt die Satzung der Unfallkasse Nordrhein-Westfalen.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 NW_29448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https://recht.nulegal.eu/gesetze/NW_29448/2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