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18 NW_29445 (Nordrhein-Westfalen) — Inkrafttreten</w:t>
      </w:r>
    </w:p>
    <w:p>
      <w:r>
        <w:rPr>
          <w:color w:val="555555"/>
          <w:sz w:val="18"/>
        </w:rPr>
        <w:t xml:space="preserve">IUAG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Dieses Gesetz tritt am Tag nach der Verkündung in Kraft.</w:t>
      </w:r>
    </w:p>
    <w:p>
      <w:r>
        <w:t xml:space="preserve">Die Landesregierung</w:t>
      </w:r>
    </w:p>
    <w:p>
      <w:r>
        <w:t xml:space="preserve">Nordrhein-Westfalen</w:t>
      </w:r>
    </w:p>
    <w:p>
      <w:r>
        <w:t xml:space="preserve">Der Ministerpräsident</w:t>
      </w:r>
    </w:p>
    <w:p>
      <w:r>
        <w:t xml:space="preserve">Für den Finanzminister</w:t>
      </w:r>
    </w:p>
    <w:p>
      <w:r>
        <w:t xml:space="preserve">die Ministerin für Wirtschaft, Mittelstand und Energie</w:t>
      </w:r>
    </w:p>
    <w:p>
      <w:r>
        <w:t xml:space="preserve">Für den Innenminister</w:t>
      </w:r>
    </w:p>
    <w:p>
      <w:r>
        <w:t xml:space="preserve">der Minister für Arbeit, Gesundheit und Soziales</w:t>
      </w:r>
    </w:p>
    <w:p>
      <w:r>
        <w:t xml:space="preserve">Der Minister</w:t>
      </w:r>
    </w:p>
    <w:p>
      <w:r>
        <w:t xml:space="preserve">für Bauen und Verkehr</w:t>
      </w:r>
    </w:p>
    <w:p>
      <w:r>
        <w:t xml:space="preserve">Der Minister</w:t>
      </w:r>
    </w:p>
    <w:p>
      <w:r>
        <w:t xml:space="preserve">für Umwelt und Naturschutz,</w:t>
      </w:r>
    </w:p>
    <w:p>
      <w:r>
        <w:t xml:space="preserve">Landwirtschaft und Verbraucherschutz</w:t>
      </w:r>
    </w:p>
    <w:p>
      <w:r>
        <w:rPr>
          <w:color w:val="555555"/>
          <w:sz w:val="17"/>
        </w:rPr>
        <w:t xml:space="preserve">Zitiervorschlag: § 18 NW_29445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https://recht.nulegal.eu/gesetze/NW_29445/18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